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9" w:rsidRPr="00A538F2" w:rsidRDefault="00B632B9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A538F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Повідомлення про оприлюднення </w:t>
      </w:r>
    </w:p>
    <w:p w:rsidR="00B632B9" w:rsidRPr="00A538F2" w:rsidRDefault="00B632B9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632B9" w:rsidRPr="00A538F2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538F2">
        <w:rPr>
          <w:rFonts w:ascii="Times New Roman" w:hAnsi="Times New Roman" w:cs="Times New Roman"/>
          <w:sz w:val="24"/>
          <w:szCs w:val="24"/>
          <w:lang w:eastAsia="uk-UA"/>
        </w:rPr>
        <w:t>Відповідно до статей 9 та 13 Закону України «Про засади державної регуляторної політики у сфері господарської діяльності», з метою одержання зауважень і пропозицій від фізичних та юридичних осіб, їх об’єднань, управління майном спільної вла</w:t>
      </w:r>
      <w:r>
        <w:rPr>
          <w:rFonts w:ascii="Times New Roman" w:hAnsi="Times New Roman" w:cs="Times New Roman"/>
          <w:sz w:val="24"/>
          <w:szCs w:val="24"/>
          <w:lang w:eastAsia="uk-UA"/>
        </w:rPr>
        <w:t>сності Львівської обласної ради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 повідомляє про оприлюднення проекту регуляторного акта –  рішення Львівської обласної ради «</w:t>
      </w:r>
      <w:r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>ро затвердження Положення про залучення інвестицій у майно територіальних громад Львівської області».</w:t>
      </w:r>
    </w:p>
    <w:p w:rsidR="00B632B9" w:rsidRPr="00A538F2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538F2">
        <w:rPr>
          <w:rFonts w:ascii="Times New Roman" w:hAnsi="Times New Roman" w:cs="Times New Roman"/>
          <w:sz w:val="24"/>
          <w:szCs w:val="24"/>
          <w:lang w:eastAsia="uk-UA"/>
        </w:rPr>
        <w:t>Головним розробником проекту є управління майном спільної власності Львівської обласної ради.</w:t>
      </w:r>
    </w:p>
    <w:p w:rsidR="00B632B9" w:rsidRPr="00A538F2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Pr="00A538F2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Актуаль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>ність прийняття вищезазначеного рішення зумовлен</w:t>
      </w:r>
      <w:r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 необхідністю в розробці та затвердженні Положення про залучення інвестицій у майно територіальних громад Львівської області з метою приведення процедури до вимог чинного законодавства України та підвищення ефективності й прозорості процесу проведення інвестиційних конкурсів.</w:t>
      </w:r>
    </w:p>
    <w:p w:rsidR="00B632B9" w:rsidRPr="00A538F2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Pr="00A538F2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538F2">
        <w:rPr>
          <w:rFonts w:ascii="Times New Roman" w:hAnsi="Times New Roman" w:cs="Times New Roman"/>
          <w:sz w:val="24"/>
          <w:szCs w:val="24"/>
          <w:lang w:eastAsia="uk-UA"/>
        </w:rPr>
        <w:t>Прийняття Львівської обласною радою Положення про залучення інвестицій у майно територіальних громад Львівської області дозволить удосконалити процедуру проведення інвестиційних конкурсів, що призведе до підвищення активності інвесторів, реалізації інвестиційних проектів, у тому числі житлового, соціального будівництва, інфраструктурних проектів, збільшення надходжень до бюджету Львівської області та територіальних громад та сприятиме створенню нових робочих місць.</w:t>
      </w:r>
    </w:p>
    <w:p w:rsidR="00B632B9" w:rsidRPr="00A538F2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Pr="00A538F2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Зауваження та пропозиції приймаються </w:t>
      </w:r>
      <w:r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в письмовому та електронному </w:t>
      </w:r>
      <w:proofErr w:type="spellStart"/>
      <w:r w:rsidRPr="00A538F2">
        <w:rPr>
          <w:rFonts w:ascii="Times New Roman" w:hAnsi="Times New Roman" w:cs="Times New Roman"/>
          <w:sz w:val="24"/>
          <w:szCs w:val="24"/>
          <w:lang w:eastAsia="uk-UA"/>
        </w:rPr>
        <w:t>виглядах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 протягом одного місяця </w:t>
      </w:r>
      <w:r>
        <w:rPr>
          <w:rFonts w:ascii="Times New Roman" w:hAnsi="Times New Roman" w:cs="Times New Roman"/>
          <w:sz w:val="24"/>
          <w:szCs w:val="24"/>
          <w:lang w:eastAsia="uk-UA"/>
        </w:rPr>
        <w:t>від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 дати опублікування за адресою: вул. В. Винниченка, 14,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м. Львів; </w:t>
      </w:r>
      <w:proofErr w:type="spellStart"/>
      <w:r w:rsidRPr="00A538F2">
        <w:rPr>
          <w:rFonts w:ascii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/факс: 2999850; </w:t>
      </w:r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e</w:t>
      </w:r>
      <w:r w:rsidRPr="00A538F2">
        <w:rPr>
          <w:rFonts w:ascii="Times New Roman" w:hAnsi="Times New Roman" w:cs="Times New Roman"/>
          <w:sz w:val="24"/>
          <w:szCs w:val="24"/>
          <w:lang w:val="ru-RU" w:eastAsia="uk-UA"/>
        </w:rPr>
        <w:t>-</w:t>
      </w:r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mail</w:t>
      </w:r>
      <w:r w:rsidRPr="00A538F2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umsv</w:t>
      </w:r>
      <w:proofErr w:type="spellEnd"/>
      <w:r w:rsidRPr="00A538F2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  <w:proofErr w:type="spellStart"/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lor</w:t>
      </w:r>
      <w:proofErr w:type="spellEnd"/>
      <w:r w:rsidRPr="00A538F2">
        <w:rPr>
          <w:rFonts w:ascii="Times New Roman" w:hAnsi="Times New Roman" w:cs="Times New Roman"/>
          <w:sz w:val="24"/>
          <w:szCs w:val="24"/>
          <w:lang w:val="ru-RU" w:eastAsia="uk-UA"/>
        </w:rPr>
        <w:t>@</w:t>
      </w:r>
      <w:proofErr w:type="spellStart"/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gmail</w:t>
      </w:r>
      <w:proofErr w:type="spellEnd"/>
      <w:r w:rsidRPr="00A538F2">
        <w:rPr>
          <w:rFonts w:ascii="Times New Roman" w:hAnsi="Times New Roman" w:cs="Times New Roman"/>
          <w:sz w:val="24"/>
          <w:szCs w:val="24"/>
          <w:lang w:val="ru-RU" w:eastAsia="uk-UA"/>
        </w:rPr>
        <w:t>.</w:t>
      </w:r>
      <w:r w:rsidRPr="00A538F2">
        <w:rPr>
          <w:rFonts w:ascii="Times New Roman" w:hAnsi="Times New Roman" w:cs="Times New Roman"/>
          <w:sz w:val="24"/>
          <w:szCs w:val="24"/>
          <w:lang w:val="en-US" w:eastAsia="uk-UA"/>
        </w:rPr>
        <w:t>com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Аналіз впливу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Pr="008F725D" w:rsidRDefault="00B632B9" w:rsidP="00A538F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lang w:val="uk-UA"/>
        </w:rPr>
      </w:pPr>
      <w:r w:rsidRPr="008F725D">
        <w:rPr>
          <w:rFonts w:ascii="Times New Roman" w:hAnsi="Times New Roman"/>
          <w:lang w:val="uk-UA" w:eastAsia="uk-UA"/>
        </w:rPr>
        <w:t xml:space="preserve">Цей аналіз підготовлений з метою затвердження рішенням Львівської обласної ради Положення </w:t>
      </w:r>
      <w:r w:rsidRPr="008F725D">
        <w:rPr>
          <w:rStyle w:val="a4"/>
          <w:rFonts w:ascii="Times New Roman" w:hAnsi="Times New Roman"/>
          <w:b w:val="0"/>
          <w:bCs w:val="0"/>
          <w:lang w:val="uk-UA"/>
        </w:rPr>
        <w:t xml:space="preserve">про залучення інвестицій у майно територіальних громад Львівської області (далі – Положення) 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I. Визначення проблеми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Необхідність прийняття положення зумовлен</w:t>
      </w:r>
      <w:r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потребою визначити та сформувати органи, наділені компетенцією для супроводження прийняття рішень </w:t>
      </w:r>
      <w:r>
        <w:rPr>
          <w:rFonts w:ascii="Times New Roman" w:hAnsi="Times New Roman" w:cs="Times New Roman"/>
          <w:sz w:val="24"/>
          <w:szCs w:val="24"/>
          <w:lang w:eastAsia="uk-UA"/>
        </w:rPr>
        <w:t>Львівською о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бласною радою (далі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–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облрада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) про укладення договорів щодо залучення інвестицій у майно спільної власності територіальних громад області. 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На сьогоднішні </w:t>
      </w:r>
      <w:r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блрада не визначила механізм</w:t>
      </w:r>
      <w:r>
        <w:rPr>
          <w:rFonts w:ascii="Times New Roman" w:hAnsi="Times New Roman" w:cs="Times New Roman"/>
          <w:sz w:val="24"/>
          <w:szCs w:val="24"/>
          <w:lang w:eastAsia="uk-UA"/>
        </w:rPr>
        <w:t>ів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та не наділила свої органи компетенцією щодо залучення інвестицій з використанням механізмів</w:t>
      </w:r>
      <w:r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передбачених законодавством про інвестиційну діяльність та державно-приватн</w:t>
      </w:r>
      <w:r>
        <w:rPr>
          <w:rFonts w:ascii="Times New Roman" w:hAnsi="Times New Roman" w:cs="Times New Roman"/>
          <w:sz w:val="24"/>
          <w:szCs w:val="24"/>
          <w:lang w:eastAsia="uk-UA"/>
        </w:rPr>
        <w:t>е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партнерств</w:t>
      </w:r>
      <w:r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. Це обмежує можливості залучення інвестицій у майно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Існуюча ситуація зумовлює наявність майна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, яке не використовується, знаходиться у занедбаному стані або використовується у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спосіб, що призводить до недоотримання надходжень до бюджету області.  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Основні групи (підгрупи), на які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скерову</w:t>
      </w: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ється вплив при підготовці проекту: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92"/>
        <w:gridCol w:w="1425"/>
        <w:gridCol w:w="1410"/>
      </w:tblGrid>
      <w:tr w:rsidR="00B632B9" w:rsidRPr="00FA0E6C">
        <w:trPr>
          <w:tblCellSpacing w:w="0" w:type="dxa"/>
          <w:jc w:val="center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Групи (підгрупи)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left="-5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Суб'є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кти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господарювання,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суб'єкти малого підприємництва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632B9" w:rsidRPr="004B5435" w:rsidRDefault="00B632B9" w:rsidP="00A538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</w:p>
    <w:p w:rsidR="00B632B9" w:rsidRPr="004B5435" w:rsidRDefault="00B632B9" w:rsidP="00A538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4B5435">
        <w:rPr>
          <w:color w:val="000000"/>
          <w:lang w:val="uk-UA"/>
        </w:rPr>
        <w:t xml:space="preserve">Прийняття цього </w:t>
      </w:r>
      <w:r w:rsidRPr="00CA4B41">
        <w:rPr>
          <w:color w:val="000000"/>
          <w:lang w:val="uk-UA"/>
        </w:rPr>
        <w:t>П</w:t>
      </w:r>
      <w:r w:rsidRPr="004B5435">
        <w:rPr>
          <w:color w:val="000000"/>
          <w:lang w:val="uk-UA"/>
        </w:rPr>
        <w:t xml:space="preserve">оложення забезпечить створення організацій </w:t>
      </w:r>
      <w:r w:rsidRPr="00CA4B41">
        <w:rPr>
          <w:lang w:val="uk-UA" w:eastAsia="uk-UA"/>
        </w:rPr>
        <w:t>облради</w:t>
      </w:r>
      <w:r w:rsidRPr="004B5435">
        <w:rPr>
          <w:color w:val="000000"/>
          <w:lang w:val="uk-UA"/>
        </w:rPr>
        <w:t>, які залучатимуть інвестиції з дотриманням ринкових механізмів.</w:t>
      </w:r>
    </w:p>
    <w:p w:rsidR="00B632B9" w:rsidRPr="004B5435" w:rsidRDefault="00B632B9" w:rsidP="00A538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bookmarkStart w:id="0" w:name="n98"/>
      <w:bookmarkEnd w:id="0"/>
      <w:r>
        <w:rPr>
          <w:color w:val="000000"/>
          <w:lang w:val="uk-UA"/>
        </w:rPr>
        <w:t>Чинні станом на сьогодні</w:t>
      </w:r>
      <w:r w:rsidRPr="004B5435">
        <w:rPr>
          <w:color w:val="000000"/>
          <w:lang w:val="uk-UA"/>
        </w:rPr>
        <w:t xml:space="preserve"> правові акти не визначають структури та компетенції органів місцевого самоврядування, </w:t>
      </w:r>
      <w:r>
        <w:rPr>
          <w:color w:val="000000"/>
          <w:lang w:val="uk-UA"/>
        </w:rPr>
        <w:t>задіяних у</w:t>
      </w:r>
      <w:r w:rsidRPr="004B5435">
        <w:rPr>
          <w:color w:val="000000"/>
          <w:lang w:val="uk-UA"/>
        </w:rPr>
        <w:t xml:space="preserve"> процесі залучення інвестицій у комунальне майно та проведення конкурсних відборів інвесторів.</w:t>
      </w:r>
    </w:p>
    <w:p w:rsidR="00B632B9" w:rsidRPr="004B5435" w:rsidRDefault="00B632B9" w:rsidP="00A538F2">
      <w:pPr>
        <w:pStyle w:val="rvps1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rvts15"/>
          <w:b/>
          <w:bCs/>
          <w:color w:val="000000"/>
          <w:bdr w:val="none" w:sz="0" w:space="0" w:color="auto" w:frame="1"/>
          <w:lang w:val="uk-UA"/>
        </w:rPr>
      </w:pPr>
    </w:p>
    <w:p w:rsidR="00B632B9" w:rsidRPr="004B5435" w:rsidRDefault="00B632B9" w:rsidP="00A538F2">
      <w:pPr>
        <w:pStyle w:val="rvps1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rvts15"/>
          <w:b/>
          <w:bCs/>
          <w:color w:val="000000"/>
          <w:bdr w:val="none" w:sz="0" w:space="0" w:color="auto" w:frame="1"/>
          <w:lang w:val="uk-UA"/>
        </w:rPr>
      </w:pPr>
      <w:r w:rsidRPr="004B5435">
        <w:rPr>
          <w:rStyle w:val="rvts15"/>
          <w:b/>
          <w:bCs/>
          <w:color w:val="000000"/>
          <w:bdr w:val="none" w:sz="0" w:space="0" w:color="auto" w:frame="1"/>
          <w:lang w:val="uk-UA"/>
        </w:rPr>
        <w:t>II. Цілі державного регулювання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" w:name="n100"/>
      <w:bookmarkEnd w:id="1"/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Прийняття рішення, яке визначить механізм відбору інвестиційних проектів, інвесторів та укладення з ними договорів забезпечить досягнення </w:t>
      </w:r>
      <w:r>
        <w:rPr>
          <w:rFonts w:ascii="Times New Roman" w:hAnsi="Times New Roman" w:cs="Times New Roman"/>
          <w:sz w:val="24"/>
          <w:szCs w:val="24"/>
          <w:lang w:eastAsia="uk-UA"/>
        </w:rPr>
        <w:t>так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их цілей:</w:t>
      </w:r>
    </w:p>
    <w:p w:rsidR="00B632B9" w:rsidRPr="004B5435" w:rsidRDefault="00B632B9" w:rsidP="00A538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підготовку якісних та обґрунтованих інвестиційних проектів органами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B632B9" w:rsidRPr="004B5435" w:rsidRDefault="00B632B9" w:rsidP="00A538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визначення органами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цілей та способів залучення інвестицій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у належні їй майнові комплекси 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з проведенням інвестиційних конкурсів; </w:t>
      </w:r>
    </w:p>
    <w:p w:rsidR="00B632B9" w:rsidRPr="004B5435" w:rsidRDefault="00B632B9" w:rsidP="00A538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зростання вартості майна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внаслідок залучення інвестицій;</w:t>
      </w:r>
    </w:p>
    <w:p w:rsidR="00B632B9" w:rsidRPr="004B5435" w:rsidRDefault="00B632B9" w:rsidP="00A538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залучення коштів до обласного бюджету; </w:t>
      </w:r>
    </w:p>
    <w:p w:rsidR="00B632B9" w:rsidRPr="004B5435" w:rsidRDefault="00B632B9" w:rsidP="00A538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зростання ефективності використання майна шляхом перепрофілювання його використання під нагальні потреби;</w:t>
      </w:r>
    </w:p>
    <w:p w:rsidR="00B632B9" w:rsidRPr="004B5435" w:rsidRDefault="00B632B9" w:rsidP="00A538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реконструкція, модернізація систем життєзабезпечення майна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 (опалення, електропостачання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тощо);</w:t>
      </w:r>
    </w:p>
    <w:p w:rsidR="00B632B9" w:rsidRPr="004B5435" w:rsidRDefault="00B632B9" w:rsidP="00A538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створення нових робочих місць;</w:t>
      </w:r>
    </w:p>
    <w:p w:rsidR="00B632B9" w:rsidRPr="004B5435" w:rsidRDefault="00B632B9" w:rsidP="00A538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підвищення ділової активності у сфері інвестування.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III. Визначення та оцінка альтернативних способів досягнення цілей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1. Визначення альтернативних способів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73"/>
        <w:gridCol w:w="6709"/>
      </w:tblGrid>
      <w:tr w:rsidR="00B632B9" w:rsidRPr="00FA0E6C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 альтернативи</w:t>
            </w:r>
          </w:p>
        </w:tc>
      </w:tr>
      <w:tr w:rsidR="00B632B9" w:rsidRPr="00FA0E6C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Проводити залучення інвестицій на підстав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 чинного законодавства України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632B9" w:rsidRPr="00FA0E6C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Реалізація проектів без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залучення приватних інвесторів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Проведення реконструкції, модернізації обладнання та нового будівництва за кошти </w:t>
            </w:r>
            <w:r w:rsidR="008F72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обласного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бюджету </w:t>
            </w:r>
          </w:p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632B9" w:rsidRDefault="00B632B9" w:rsidP="00A538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2. Оцінка вибраних альтернативних способів досягнення цілей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Оцінка впливу на сферу інтересів Львівської обласної ради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91"/>
        <w:gridCol w:w="2957"/>
        <w:gridCol w:w="3736"/>
      </w:tblGrid>
      <w:tr w:rsidR="00B632B9" w:rsidRPr="00FA0E6C">
        <w:trPr>
          <w:tblCellSpacing w:w="0" w:type="dxa"/>
          <w:jc w:val="center"/>
        </w:trPr>
        <w:tc>
          <w:tcPr>
            <w:tcW w:w="2832" w:type="dxa"/>
            <w:tcBorders>
              <w:top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3119" w:type="dxa"/>
            <w:tcBorders>
              <w:top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3964" w:type="dxa"/>
            <w:tcBorders>
              <w:top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2832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3119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3964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забезпечує досягнення цілей, оскільки відсутні органи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що наділені компетенцією із визначення інвесторів. Це практично унеможливлює залучення приватних інвестицій у майно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2832" w:type="dxa"/>
            <w:tcBorders>
              <w:bottom w:val="in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Реалізація проектів без залучення приватних інвесторів</w:t>
            </w:r>
          </w:p>
        </w:tc>
        <w:tc>
          <w:tcPr>
            <w:tcW w:w="3119" w:type="dxa"/>
            <w:tcBorders>
              <w:bottom w:val="in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Отримання Львівською обласною радою всіх можливих вигод та доходів від реалізації інвестиційних проектів </w:t>
            </w:r>
          </w:p>
        </w:tc>
        <w:tc>
          <w:tcPr>
            <w:tcW w:w="3964" w:type="dxa"/>
            <w:tcBorders>
              <w:bottom w:val="in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Забезпечить досягнення цілей у незначній мірі, оскільки обмеженість коштів бюджету розвитку </w:t>
            </w:r>
            <w:r w:rsidR="008F72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обласного бюджету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дозволить профінансувати необхідний обсяг робіт. Розмір коштів, необхідних для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реконструкції, модернізації та нового будівництва на майнових комплексах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декілька разів перевищує суми, які можуть бути виділені з бюджету розвитку </w:t>
            </w:r>
            <w:r w:rsidR="008F72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обласного бюджету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наслідок цього буде реалізовано лише частину проектів, які потребують незначних інвестицій,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що не вирішує наявних проблем</w:t>
            </w:r>
          </w:p>
        </w:tc>
      </w:tr>
    </w:tbl>
    <w:p w:rsidR="00B632B9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Оцінка впливу на сферу інтересів громадян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22"/>
        <w:gridCol w:w="2963"/>
        <w:gridCol w:w="2799"/>
      </w:tblGrid>
      <w:tr w:rsidR="00B632B9" w:rsidRPr="00FA0E6C">
        <w:trPr>
          <w:tblCellSpacing w:w="0" w:type="dxa"/>
          <w:jc w:val="center"/>
        </w:trPr>
        <w:tc>
          <w:tcPr>
            <w:tcW w:w="3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3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Відсутні, не забе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зпечить зростання робочих місць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3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Реалізація проектів за кош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без залучення приватних інвесторів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Створить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езначну кількість робочих місць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:rsidR="00B632B9" w:rsidRDefault="00B632B9" w:rsidP="00A53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Default="00B632B9" w:rsidP="00A53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Pr="004B5435" w:rsidRDefault="00B632B9" w:rsidP="00A53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Оцінка впливу на сферу інтересів суб'єктів господарювання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3"/>
        <w:gridCol w:w="1329"/>
        <w:gridCol w:w="1461"/>
        <w:gridCol w:w="1302"/>
        <w:gridCol w:w="1307"/>
        <w:gridCol w:w="1445"/>
      </w:tblGrid>
      <w:tr w:rsidR="00B632B9" w:rsidRPr="00FA0E6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Великі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Середні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Малі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Мікро</w:t>
            </w:r>
            <w:proofErr w:type="spellEnd"/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суб'єктів господарювання, що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отрапля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ють під дію регулювання, одиниць</w:t>
            </w:r>
          </w:p>
        </w:tc>
        <w:tc>
          <w:tcPr>
            <w:tcW w:w="68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Визначити неможливо, оскільки Положення буде застосовуватись щодо тих суб’єктів господарювання, які зголосяться до участі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конкурсі відповідно до сформованих вимог із залучення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інвестицій у конкретні об’єкти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Питома вага групи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загальній кількості, відсотків</w:t>
            </w:r>
          </w:p>
        </w:tc>
        <w:tc>
          <w:tcPr>
            <w:tcW w:w="68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Визначити неможливо, оскільки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оложення не поділяє учас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ників конкурсів за їх розмірами</w:t>
            </w:r>
          </w:p>
        </w:tc>
      </w:tr>
    </w:tbl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01"/>
        <w:gridCol w:w="3944"/>
        <w:gridCol w:w="2140"/>
      </w:tblGrid>
      <w:tr w:rsidR="00B632B9" w:rsidRPr="00FA0E6C">
        <w:trPr>
          <w:tblCellSpacing w:w="0" w:type="dxa"/>
          <w:jc w:val="center"/>
        </w:trPr>
        <w:tc>
          <w:tcPr>
            <w:tcW w:w="3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3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30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Реалізація проектів без залучення приватних інвесторів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Вигоду отримають суб’єкти господарювання – підрядники виконання робіт відповідно до обсягів виділених бюджетних коштів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Витрати на одного суб'єкта господарювання великого і середнього підприємництва, які виникають </w:t>
      </w:r>
      <w:r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наслідок дії Положення</w:t>
      </w:r>
    </w:p>
    <w:tbl>
      <w:tblPr>
        <w:tblW w:w="89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33"/>
        <w:gridCol w:w="5020"/>
        <w:gridCol w:w="1206"/>
        <w:gridCol w:w="1275"/>
      </w:tblGrid>
      <w:tr w:rsidR="00B632B9" w:rsidRPr="00FA0E6C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перший рік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B90DB4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п'ять років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Податки та збори (зміна розміру податків/з</w:t>
            </w:r>
            <w:r w:rsidR="008F72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борів, виникнення необхідності в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сплаті податків/зборів),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Витрати, пов'язані із веденням обліку,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підготовкою та поданням звітності державним органам,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на оборотні активи (матеріали, канцелярські товари тощо), гривень (для подання комплекту документів на конкурс)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200,0 (витрати одноразові)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Витрати, пов'язані із наймом додаткового персоналу,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Інше, гривень, у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ому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ислі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(витрати одноразові)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витрати на послуги нотаріус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300,00 (витрати одноразові)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витрати на реєстраційний внесок учасника інвестиційного конкурсу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більше як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три </w:t>
            </w: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мінімальні заробітні плати на момент сплати (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11169,00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момент складання  цього аналізу</w:t>
            </w: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11169,00 (витрати одноразові)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11669,00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(витрати одноразові)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2B9" w:rsidRDefault="00B632B9" w:rsidP="00A538F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визначено (особи, які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зголосили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End"/>
          </w:p>
          <w:p w:rsidR="00B632B9" w:rsidRPr="004B5435" w:rsidRDefault="00B632B9" w:rsidP="00A538F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участі в конкурсі)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632B9" w:rsidRDefault="00B632B9" w:rsidP="00582E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визначено (особи, які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зголосили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End"/>
          </w:p>
          <w:p w:rsidR="00B632B9" w:rsidRPr="004B5435" w:rsidRDefault="00B632B9" w:rsidP="0058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участі в конкурсі)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Сумарні витрати суб'єктів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Default="00B632B9" w:rsidP="00582E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визначено (особи, які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зголосили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End"/>
          </w:p>
          <w:p w:rsidR="00B632B9" w:rsidRPr="00B90DB4" w:rsidRDefault="00B632B9" w:rsidP="0058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участі в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конкурсі)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Default="00B632B9" w:rsidP="00582E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Не визначено (особи, які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зголосили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End"/>
          </w:p>
          <w:p w:rsidR="00B632B9" w:rsidRPr="00B90DB4" w:rsidRDefault="00B632B9" w:rsidP="0058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участі в конкурсі)</w:t>
            </w:r>
          </w:p>
        </w:tc>
      </w:tr>
    </w:tbl>
    <w:p w:rsidR="00B632B9" w:rsidRDefault="00B632B9" w:rsidP="00A538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IV. Вибір найбільш оптимального альтернативного способу досягнення цілей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78"/>
        <w:gridCol w:w="2368"/>
        <w:gridCol w:w="3436"/>
      </w:tblGrid>
      <w:tr w:rsidR="00B632B9" w:rsidRPr="00FA0E6C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258DF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258DF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Бал результативності</w:t>
            </w:r>
          </w:p>
          <w:p w:rsidR="00B632B9" w:rsidRPr="00B258DF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(за чотирибальною системою оцінки)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B258DF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Коментарі щодо присвоєння відповідного бала</w:t>
            </w:r>
          </w:p>
        </w:tc>
      </w:tr>
      <w:tr w:rsidR="00B632B9" w:rsidRPr="00FA0E6C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C05FF4" w:rsidRDefault="00B632B9" w:rsidP="00A538F2">
            <w:pPr>
              <w:pStyle w:val="a5"/>
              <w:numPr>
                <w:ilvl w:val="0"/>
                <w:numId w:val="10"/>
              </w:numPr>
              <w:tabs>
                <w:tab w:val="left" w:pos="4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Проблема з великою імо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вірністю залишиться невирішеною</w:t>
            </w:r>
          </w:p>
        </w:tc>
      </w:tr>
      <w:tr w:rsidR="00B632B9" w:rsidRPr="00FA0E6C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C05FF4" w:rsidRDefault="00B632B9" w:rsidP="00A538F2">
            <w:pPr>
              <w:pStyle w:val="a5"/>
              <w:numPr>
                <w:ilvl w:val="0"/>
                <w:numId w:val="10"/>
              </w:numPr>
              <w:tabs>
                <w:tab w:val="left" w:pos="4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Реалізація проектів без залучення приватних інвесторів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Забезпечить незначне вирішення проблеми (лише щодо кількох незначних об’єктів, що є несуттєвим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орівняно з існуючими потребами)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632B9" w:rsidRPr="00FA0E6C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C05FF4" w:rsidRDefault="00B632B9" w:rsidP="00A538F2">
            <w:pPr>
              <w:pStyle w:val="a5"/>
              <w:numPr>
                <w:ilvl w:val="0"/>
                <w:numId w:val="10"/>
              </w:numPr>
              <w:tabs>
                <w:tab w:val="left" w:pos="4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 запропонованого проекту рішення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Проблема буде вирішена щодо значної кількості об’єктів із залученням значних інвестицій, за умов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 сприятливої ринкової ситуації</w:t>
            </w:r>
          </w:p>
        </w:tc>
      </w:tr>
    </w:tbl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00"/>
        <w:gridCol w:w="2835"/>
        <w:gridCol w:w="2977"/>
        <w:gridCol w:w="2245"/>
      </w:tblGrid>
      <w:tr w:rsidR="00B632B9" w:rsidRPr="00FA0E6C">
        <w:trPr>
          <w:tblCellSpacing w:w="0" w:type="dxa"/>
        </w:trPr>
        <w:tc>
          <w:tcPr>
            <w:tcW w:w="2000" w:type="dxa"/>
          </w:tcPr>
          <w:p w:rsidR="00B632B9" w:rsidRPr="00B258DF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Рейтинг результативності</w:t>
            </w:r>
          </w:p>
        </w:tc>
        <w:tc>
          <w:tcPr>
            <w:tcW w:w="2835" w:type="dxa"/>
          </w:tcPr>
          <w:p w:rsidR="00B632B9" w:rsidRPr="00B258DF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Вигоди (підсумок)</w:t>
            </w:r>
          </w:p>
        </w:tc>
        <w:tc>
          <w:tcPr>
            <w:tcW w:w="2977" w:type="dxa"/>
          </w:tcPr>
          <w:p w:rsidR="00B632B9" w:rsidRPr="00B258DF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(підсумок)</w:t>
            </w:r>
          </w:p>
        </w:tc>
        <w:tc>
          <w:tcPr>
            <w:tcW w:w="2245" w:type="dxa"/>
          </w:tcPr>
          <w:p w:rsidR="00B632B9" w:rsidRPr="00B258DF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B632B9" w:rsidRPr="00FA0E6C">
        <w:trPr>
          <w:tblCellSpacing w:w="0" w:type="dxa"/>
        </w:trPr>
        <w:tc>
          <w:tcPr>
            <w:tcW w:w="2000" w:type="dxa"/>
          </w:tcPr>
          <w:p w:rsidR="00B632B9" w:rsidRPr="00C05FF4" w:rsidRDefault="00B632B9" w:rsidP="00A538F2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 запропонованого проекту рішення</w:t>
            </w:r>
          </w:p>
        </w:tc>
        <w:tc>
          <w:tcPr>
            <w:tcW w:w="2835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Проведення реконструкції та відповідне зростання вартості наявного та отримання у власність </w:t>
            </w:r>
            <w:r w:rsidRPr="00CA4B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додаткового майна за рахунок коштів інвестора.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Використання в інтересах </w:t>
            </w:r>
            <w:r w:rsidRPr="00CA4B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територіальної громади раніше незадіяного майна.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Модернізація та створення нового обладнання на об’єктах </w:t>
            </w:r>
            <w:r w:rsidRPr="00CA4B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кошт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нвестора.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Підвищення ефективності використання майна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Отримання додаткових надходжень до бюджету </w:t>
            </w:r>
            <w:r w:rsidRPr="00CA4B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 значної кількості нових робочих місць на об’єктах інвестування.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Створення для суб’єктів господарювання можливостей вкладення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інвестицій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подальшого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виробництва товарів,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що значно збільшить їх доходи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Витрати на опублікування 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оголошень, виконання інших робіт, які визначатимуться відповідно до специфіки умов інвестування в окремі об’єкти (суму на цей час визначити неможливо).   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громадян відсутні.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Одноразові витрати несуть суб’єкти господарювання, які братимуть участь у конкурсі (залежно від встановленого реєстраційного внеску, але н</w:t>
            </w: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 більше як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три</w:t>
            </w: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мінімальні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аробітні плати на момент сплати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5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Проблема буде вирішена щодо значної кількості об’єктів із залученням значних інвестицій, за умов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 сприятливої ринкової ситуації</w:t>
            </w:r>
          </w:p>
        </w:tc>
      </w:tr>
      <w:tr w:rsidR="00B632B9" w:rsidRPr="00FA0E6C">
        <w:trPr>
          <w:tblCellSpacing w:w="0" w:type="dxa"/>
        </w:trPr>
        <w:tc>
          <w:tcPr>
            <w:tcW w:w="2000" w:type="dxa"/>
          </w:tcPr>
          <w:p w:rsidR="00B632B9" w:rsidRPr="00C05FF4" w:rsidRDefault="00B632B9" w:rsidP="00E65B59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Реалізація проектів без залучення приватних інвесторів</w:t>
            </w:r>
          </w:p>
        </w:tc>
        <w:tc>
          <w:tcPr>
            <w:tcW w:w="2835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 Львівською обласною радою всіх можливих вигод та доходів від реалізації інвестиційних проектів.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Вигоду отримають суб’єкти господарювання – підрядники виконання робіт відповідно до обсягів виділених бюджетних коштів.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Створить незначну кількість робочих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місць</w:t>
            </w:r>
          </w:p>
        </w:tc>
        <w:tc>
          <w:tcPr>
            <w:tcW w:w="2977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Забезпечить досягнення цілей у незначній мірі, оскільки обмеженість коштів </w:t>
            </w:r>
            <w:r w:rsidR="008F72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обласного бюджету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дозволить профінансувати необхідний обсяг робіт. Необхідні кошти для реконструкції, модернізації та нового будівництва на майнових комплексах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декілька разів перевищують кошти, які можуть бути виділені з </w:t>
            </w:r>
            <w:r w:rsidR="008F72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обласного бюджету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наслідок цього буде реалізовано лише частину проектів, що потребують незначних коштів.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громадян та 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б’єктів господарювання відсутні</w:t>
            </w:r>
          </w:p>
        </w:tc>
        <w:tc>
          <w:tcPr>
            <w:tcW w:w="2245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Забезпечить незначне вирішення проблеми (лише щодо кількох незначних об’єктів, що є несуттєвим порівняно з існуючими потребами) </w:t>
            </w:r>
          </w:p>
        </w:tc>
      </w:tr>
      <w:tr w:rsidR="00B632B9" w:rsidRPr="00FA0E6C">
        <w:trPr>
          <w:tblCellSpacing w:w="0" w:type="dxa"/>
        </w:trPr>
        <w:tc>
          <w:tcPr>
            <w:tcW w:w="2000" w:type="dxa"/>
          </w:tcPr>
          <w:p w:rsidR="00B632B9" w:rsidRPr="00C05FF4" w:rsidRDefault="00B632B9" w:rsidP="00A538F2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2835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2977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забезпечує досягнення цілей, оскільки відсутні органи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що наділені компетенцією із визначення інвесторів. Це практично унеможливлює залучення приватних інвестицій у майно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громадян та су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б’єктів господарювання відсутні</w:t>
            </w:r>
          </w:p>
        </w:tc>
        <w:tc>
          <w:tcPr>
            <w:tcW w:w="2245" w:type="dxa"/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Проблема з великою імо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вірністю залишиться невирішеною</w:t>
            </w:r>
          </w:p>
        </w:tc>
      </w:tr>
    </w:tbl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02"/>
        <w:gridCol w:w="3835"/>
        <w:gridCol w:w="3247"/>
      </w:tblGrid>
      <w:tr w:rsidR="00B632B9" w:rsidRPr="00FA0E6C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258DF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258DF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B258DF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Оцінка ризику зовнішніх чинників на дію запропонованого акта</w:t>
            </w:r>
          </w:p>
        </w:tc>
      </w:tr>
      <w:tr w:rsidR="00B632B9" w:rsidRPr="00FA0E6C">
        <w:trPr>
          <w:trHeight w:val="1494"/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258DF" w:rsidRDefault="00B632B9" w:rsidP="00A538F2">
            <w:pPr>
              <w:pStyle w:val="a5"/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 запропонованого проекту рішення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Перевага: забезпечує максимальні можливості щодо вирішення проблеми ефективності використання майна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забезпечує створення найбільшої серед альтернати</w:t>
            </w:r>
            <w:r w:rsidR="008F72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кількості нових робочих місць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65B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можливостей для інвестування суб’єктами господарювання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Проект має опосередкован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середн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ій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ступінь залежності  від ринкової кон’юнктури, що впливає на кількість інвесторів, які зголосяться для реаліз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ації інвестиційних проектів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258DF" w:rsidRDefault="00B632B9" w:rsidP="00A538F2">
            <w:pPr>
              <w:pStyle w:val="a5"/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Реалізація проектів без залучення приватних інвесторів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Відмова: забезпечує реалізацію мінімальної кількості незначних за обсягом проектів внаслідок обмеженості коштів. Створює незначну кількість вигод для громадян та суб’єкті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господарювання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Проект має прям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висок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ступінь залежнос</w:t>
            </w:r>
            <w:r w:rsidR="00A8354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 розміру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</w:t>
            </w:r>
            <w:r w:rsidR="00E65B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одаткових надходжень до обласного бюджету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65B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</w:t>
            </w:r>
            <w:r w:rsidR="00E65B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кож від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законодавства, яке визначає перелік податків та їх частку, що належить д</w:t>
            </w:r>
            <w:r w:rsidR="00E65B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 зарахування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обласні бюджети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23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B258DF" w:rsidRDefault="00B632B9" w:rsidP="00A538F2">
            <w:pPr>
              <w:pStyle w:val="a5"/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Відмова: практично унеможливлює реалізацію інвестиційних проектів, що зводить до мінімуму можливі вигоди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облради, бізнесу та громадян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Проект має опосередкован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середн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ій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ступінь залежності  від ринкової кон’юнктури, що впливає на кількість інвесторів, які зголосяться для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алізації інвестиційних проектів</w:t>
            </w:r>
          </w:p>
        </w:tc>
      </w:tr>
    </w:tbl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V. Механізми та заходи, які забезпечать розв'язання визначеної проблеми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Прийняття цього </w:t>
      </w:r>
      <w:r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оложення </w:t>
      </w:r>
      <w:r>
        <w:rPr>
          <w:rFonts w:ascii="Times New Roman" w:hAnsi="Times New Roman" w:cs="Times New Roman"/>
          <w:sz w:val="24"/>
          <w:szCs w:val="24"/>
          <w:lang w:eastAsia="uk-UA"/>
        </w:rPr>
        <w:t>уможливит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ь формування компетентних органів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, які забезпечать залучення інвесторів у майно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через проведення інвестиційних конкурсів, що призведе до покращення стану майна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, збільшення надходжень до бюджету </w:t>
      </w:r>
      <w:r>
        <w:rPr>
          <w:rFonts w:ascii="Times New Roman" w:hAnsi="Times New Roman" w:cs="Times New Roman"/>
          <w:sz w:val="24"/>
          <w:szCs w:val="24"/>
          <w:lang w:eastAsia="uk-UA"/>
        </w:rPr>
        <w:t>й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стимулюватиме розвиток підприємництва.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Для цього положення передбачає </w:t>
      </w:r>
      <w:r>
        <w:rPr>
          <w:rFonts w:ascii="Times New Roman" w:hAnsi="Times New Roman" w:cs="Times New Roman"/>
          <w:sz w:val="24"/>
          <w:szCs w:val="24"/>
          <w:lang w:eastAsia="uk-UA"/>
        </w:rPr>
        <w:t>так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і механізми </w:t>
      </w:r>
      <w:r>
        <w:rPr>
          <w:rFonts w:ascii="Times New Roman" w:hAnsi="Times New Roman" w:cs="Times New Roman"/>
          <w:sz w:val="24"/>
          <w:szCs w:val="24"/>
          <w:lang w:eastAsia="uk-UA"/>
        </w:rPr>
        <w:t>й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заходи:</w:t>
      </w:r>
    </w:p>
    <w:p w:rsidR="00B632B9" w:rsidRPr="004B5435" w:rsidRDefault="00B632B9" w:rsidP="00A538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наділення комунального підприємства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правами інвестиційного агента з підбору, формування та реалізації інвестиційних проектів, пошуку </w:t>
      </w:r>
      <w:r>
        <w:rPr>
          <w:rFonts w:ascii="Times New Roman" w:hAnsi="Times New Roman" w:cs="Times New Roman"/>
          <w:sz w:val="24"/>
          <w:szCs w:val="24"/>
          <w:lang w:eastAsia="uk-UA"/>
        </w:rPr>
        <w:t>й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роботи з інвесторами;</w:t>
      </w:r>
    </w:p>
    <w:p w:rsidR="00B632B9" w:rsidRPr="004B5435" w:rsidRDefault="00B632B9" w:rsidP="00A538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наділення управління майном спільної власності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повноваженнями організатора інвестиційних конкурсів;</w:t>
      </w:r>
    </w:p>
    <w:p w:rsidR="00B632B9" w:rsidRPr="004B5435" w:rsidRDefault="00B632B9" w:rsidP="00A538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створення спеціальної ком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ісії 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з проведення конкурсів, яка визначатиме вимоги до інвестицій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та 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переможців конкурсів;</w:t>
      </w:r>
    </w:p>
    <w:p w:rsidR="00B632B9" w:rsidRPr="004B5435" w:rsidRDefault="00B632B9" w:rsidP="00A538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формування інвестиційних проектів;</w:t>
      </w:r>
    </w:p>
    <w:p w:rsidR="00B632B9" w:rsidRPr="004B5435" w:rsidRDefault="00B632B9" w:rsidP="00A538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затвердження переліку майна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, я</w:t>
      </w:r>
      <w:r w:rsidR="00E65B59">
        <w:rPr>
          <w:rFonts w:ascii="Times New Roman" w:hAnsi="Times New Roman" w:cs="Times New Roman"/>
          <w:sz w:val="24"/>
          <w:szCs w:val="24"/>
          <w:lang w:eastAsia="uk-UA"/>
        </w:rPr>
        <w:t xml:space="preserve">ке пропонується для реалізації 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інвестиційних проектів на сесії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B632B9" w:rsidRPr="004B5435" w:rsidRDefault="00B632B9" w:rsidP="00A538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проведення інвестиційного конкурсу;</w:t>
      </w:r>
    </w:p>
    <w:p w:rsidR="00B632B9" w:rsidRPr="004B5435" w:rsidRDefault="00B632B9" w:rsidP="00A538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укладення та виконання договорів для залучення приватних інвестицій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у 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майно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VI. Оцінка виконання вимог положення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Бюджетні витрати Львівської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обласної ради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виконання Положення </w:t>
      </w:r>
      <w:r w:rsidRPr="004B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суб’єктів великого і середнього підприємництва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02"/>
        <w:gridCol w:w="775"/>
        <w:gridCol w:w="265"/>
        <w:gridCol w:w="1402"/>
        <w:gridCol w:w="419"/>
        <w:gridCol w:w="989"/>
        <w:gridCol w:w="309"/>
        <w:gridCol w:w="1036"/>
        <w:gridCol w:w="427"/>
        <w:gridCol w:w="1301"/>
      </w:tblGrid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n191"/>
            <w:bookmarkStart w:id="3" w:name="n193"/>
            <w:bookmarkStart w:id="4" w:name="n194"/>
            <w:bookmarkEnd w:id="2"/>
            <w:bookmarkEnd w:id="3"/>
            <w:bookmarkEnd w:id="4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546" w:type="pct"/>
            <w:gridSpan w:val="2"/>
          </w:tcPr>
          <w:p w:rsidR="00B632B9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Планові витрати часу на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End"/>
          </w:p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956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81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68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681" w:type="pct"/>
          </w:tcPr>
          <w:p w:rsidR="00B632B9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Витрати на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End"/>
          </w:p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регулюван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(за рік), гривень</w:t>
            </w:r>
          </w:p>
        </w:tc>
      </w:tr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Облік суб’єкта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господарювання, що перебуває у сфері дії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 (здійснюється при прийомі документів від учасника інвестиційного конкурсу). Інших процедур не передбачено</w:t>
            </w:r>
          </w:p>
        </w:tc>
        <w:tc>
          <w:tcPr>
            <w:tcW w:w="546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0,5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956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запроваджуються  нові посади для реалізації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оложення. Функції виконують наявні 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жбовці в межах робочого часу</w:t>
            </w:r>
          </w:p>
        </w:tc>
        <w:tc>
          <w:tcPr>
            <w:tcW w:w="681" w:type="pct"/>
            <w:gridSpan w:val="2"/>
          </w:tcPr>
          <w:p w:rsidR="00B632B9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Процедура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застосову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End"/>
          </w:p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ється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разово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прийомі документів на конкурс</w:t>
            </w:r>
          </w:p>
        </w:tc>
        <w:tc>
          <w:tcPr>
            <w:tcW w:w="768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Відповідно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кількості учасників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інвестицій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конкурсів</w:t>
            </w:r>
          </w:p>
        </w:tc>
        <w:tc>
          <w:tcPr>
            <w:tcW w:w="681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Відсутні</w:t>
            </w:r>
          </w:p>
        </w:tc>
      </w:tr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46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камеральні</w:t>
            </w:r>
          </w:p>
        </w:tc>
        <w:tc>
          <w:tcPr>
            <w:tcW w:w="3634" w:type="pct"/>
            <w:gridSpan w:val="9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виїзні</w:t>
            </w:r>
          </w:p>
        </w:tc>
        <w:tc>
          <w:tcPr>
            <w:tcW w:w="3634" w:type="pct"/>
            <w:gridSpan w:val="9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3634" w:type="pct"/>
            <w:gridSpan w:val="9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3634" w:type="pct"/>
            <w:gridSpan w:val="9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3634" w:type="pct"/>
            <w:gridSpan w:val="9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Підготовка звітності за результатами регулювання</w:t>
            </w:r>
          </w:p>
        </w:tc>
        <w:tc>
          <w:tcPr>
            <w:tcW w:w="3634" w:type="pct"/>
            <w:gridSpan w:val="9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Інші адміністративні процедури (уточнити): 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 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 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</w:p>
        </w:tc>
        <w:tc>
          <w:tcPr>
            <w:tcW w:w="3634" w:type="pct"/>
            <w:gridSpan w:val="9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407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год.</w:t>
            </w:r>
          </w:p>
        </w:tc>
        <w:tc>
          <w:tcPr>
            <w:tcW w:w="875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Відповідно до кількості учасників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інвестицій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конкурсів</w:t>
            </w:r>
          </w:p>
        </w:tc>
        <w:tc>
          <w:tcPr>
            <w:tcW w:w="907" w:type="pct"/>
            <w:gridSpan w:val="2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B632B9" w:rsidRPr="00FA0E6C" w:rsidTr="00E65B59">
        <w:trPr>
          <w:jc w:val="center"/>
        </w:trPr>
        <w:tc>
          <w:tcPr>
            <w:tcW w:w="1366" w:type="pct"/>
          </w:tcPr>
          <w:p w:rsidR="00B632B9" w:rsidRPr="004B5435" w:rsidRDefault="00B632B9" w:rsidP="00A538F2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Сумарно за п’ять років</w:t>
            </w:r>
          </w:p>
        </w:tc>
        <w:tc>
          <w:tcPr>
            <w:tcW w:w="3634" w:type="pct"/>
            <w:gridSpan w:val="9"/>
          </w:tcPr>
          <w:p w:rsidR="00B632B9" w:rsidRPr="004B5435" w:rsidRDefault="00B632B9" w:rsidP="00A538F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цедура разова і не повторюється</w:t>
            </w:r>
          </w:p>
        </w:tc>
      </w:tr>
    </w:tbl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632B9" w:rsidRDefault="00B632B9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055702" w:rsidRDefault="00055702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055702" w:rsidRDefault="00055702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055702" w:rsidRDefault="00055702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>ТЕСТ</w:t>
      </w: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/>
        <w:t>малого підприємництва (М-Тест)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1. Консультації щодо визначення впливу запропонованого </w:t>
      </w:r>
      <w:r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оложення на суб'єктів малого підприємництва та визначення детального переліку процедур проведено розробником у період з 20.01.2017 до 30.02.2017 року.</w:t>
      </w:r>
    </w:p>
    <w:p w:rsidR="00B632B9" w:rsidRPr="004B5435" w:rsidRDefault="00B632B9" w:rsidP="00A538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uk-UA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3686"/>
        <w:gridCol w:w="1417"/>
        <w:gridCol w:w="3588"/>
      </w:tblGrid>
      <w:tr w:rsidR="00B632B9" w:rsidRPr="00FA0E6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Порядко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вий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інтернет-консультації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прямі (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інтернет-форуми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Default="00B632B9" w:rsidP="00B10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Кіль-кість</w:t>
            </w:r>
            <w:proofErr w:type="spellEnd"/>
          </w:p>
          <w:p w:rsidR="00B632B9" w:rsidRPr="004B5435" w:rsidRDefault="00B632B9" w:rsidP="00B10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ків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цій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осіб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Основні результати консультацій (опис)</w:t>
            </w:r>
          </w:p>
        </w:tc>
      </w:tr>
      <w:tr w:rsidR="00B632B9" w:rsidRPr="00FA0E6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Круглий стіл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FA0E6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обговорення</w:t>
            </w:r>
            <w:r w:rsidRPr="00FA0E6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проекту 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</w:t>
            </w:r>
            <w:r w:rsidRPr="00FA0E6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оложення про залучення інвестицій у майно територіальних громад області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Обговорено механізми залучення інвестицій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майно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актуальність проблеми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 напрями її вирішення</w:t>
            </w:r>
          </w:p>
        </w:tc>
      </w:tr>
      <w:tr w:rsidR="00B632B9" w:rsidRPr="00FA0E6C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Експертні висновки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Отримано економічний аналіз впливу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оложення на майновий стан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суб’єктів господарювання, визначено, що потенційними учасниками конкурсу будуть саме великі підприємства, які мають доступ до значних ресурсів (фінансових та організаційних)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реалізації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інвестпроектів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B632B9" w:rsidRPr="004B5435" w:rsidRDefault="00B632B9" w:rsidP="00A538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 w:eastAsia="uk-UA"/>
        </w:rPr>
      </w:pPr>
    </w:p>
    <w:p w:rsidR="00B632B9" w:rsidRPr="004B5435" w:rsidRDefault="00B632B9" w:rsidP="00A538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 w:rsidRPr="004B5435">
        <w:rPr>
          <w:lang w:val="uk-UA" w:eastAsia="uk-UA"/>
        </w:rPr>
        <w:t> </w:t>
      </w:r>
      <w:r w:rsidRPr="004B5435">
        <w:rPr>
          <w:color w:val="000000"/>
          <w:lang w:val="uk-UA"/>
        </w:rPr>
        <w:t>Вимірювання впливу регулювання на суб’єктів малого підприємництва (</w:t>
      </w:r>
      <w:proofErr w:type="spellStart"/>
      <w:r w:rsidRPr="004B5435">
        <w:rPr>
          <w:color w:val="000000"/>
          <w:lang w:val="uk-UA"/>
        </w:rPr>
        <w:t>мікро-</w:t>
      </w:r>
      <w:proofErr w:type="spellEnd"/>
      <w:r w:rsidRPr="004B5435">
        <w:rPr>
          <w:color w:val="000000"/>
          <w:lang w:val="uk-UA"/>
        </w:rPr>
        <w:t xml:space="preserve"> та малі):</w:t>
      </w:r>
    </w:p>
    <w:p w:rsidR="00B632B9" w:rsidRPr="004B5435" w:rsidRDefault="00B632B9" w:rsidP="00A538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bookmarkStart w:id="5" w:name="n204"/>
      <w:bookmarkEnd w:id="5"/>
      <w:r w:rsidRPr="004B5435">
        <w:rPr>
          <w:color w:val="000000"/>
          <w:lang w:val="uk-UA"/>
        </w:rPr>
        <w:t xml:space="preserve">кількість суб’єктів малого підприємництва, на яких поширюється регулювання визначити неможливо, оскільки дія </w:t>
      </w:r>
      <w:r>
        <w:rPr>
          <w:color w:val="000000"/>
          <w:lang w:val="uk-UA"/>
        </w:rPr>
        <w:t>П</w:t>
      </w:r>
      <w:r w:rsidRPr="004B5435">
        <w:rPr>
          <w:color w:val="000000"/>
          <w:lang w:val="uk-UA"/>
        </w:rPr>
        <w:t>оложення поширюється на осіб, які подали заяв</w:t>
      </w:r>
      <w:r w:rsidR="00B100E3">
        <w:rPr>
          <w:color w:val="000000"/>
          <w:lang w:val="uk-UA"/>
        </w:rPr>
        <w:t>к</w:t>
      </w:r>
      <w:r w:rsidRPr="004B5435">
        <w:rPr>
          <w:color w:val="000000"/>
          <w:lang w:val="uk-UA"/>
        </w:rPr>
        <w:t>и на участь у конкурсі. Їх кількість передбачити неможливо</w:t>
      </w:r>
      <w:r>
        <w:rPr>
          <w:color w:val="000000"/>
          <w:lang w:val="uk-UA"/>
        </w:rPr>
        <w:t>,</w:t>
      </w:r>
      <w:r w:rsidRPr="004B5435">
        <w:rPr>
          <w:color w:val="000000"/>
          <w:lang w:val="uk-UA"/>
        </w:rPr>
        <w:t xml:space="preserve"> як і питому вагу серед них малого  підприємництва.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_GoBack"/>
      <w:bookmarkEnd w:id="6"/>
      <w:r w:rsidRPr="004B5435">
        <w:rPr>
          <w:rFonts w:ascii="Times New Roman" w:hAnsi="Times New Roman" w:cs="Times New Roman"/>
          <w:sz w:val="24"/>
          <w:szCs w:val="24"/>
          <w:lang w:eastAsia="uk-UA"/>
        </w:rPr>
        <w:t>3. Розрахунок витрат суб'єктів малого підприємництва на виконання вимог регулювання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93"/>
        <w:gridCol w:w="4934"/>
        <w:gridCol w:w="1559"/>
        <w:gridCol w:w="1560"/>
        <w:gridCol w:w="1289"/>
      </w:tblGrid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Поряд-ковий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за п'ять років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023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Придбання необхідного обладнання (пристроїв, машин, механізмів)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суб'єкта малого підприємництва (заробітна плата) Х оціночна кількість процедур обліку за рік) Х кількість необхідних одиниць обладнання для одного суб'єкта малого підприємництва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Облік суб’єкта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(Процедура застосовується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разово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прийомі документів на конкурс)</w:t>
            </w:r>
          </w:p>
          <w:p w:rsidR="00B632B9" w:rsidRPr="00FA0E6C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Прямі витрати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сплата реєстраційного збору н</w:t>
            </w: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 xml:space="preserve">е більше як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 xml:space="preserve"> мінімальні заробітні плати на момент сплати (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11169,00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момент складання  цього аналізу</w:t>
            </w: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>Інших процедур обліку чи перевірок не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редбачено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Процедури експлуатації обладнання (експлуатаційні витрати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витратні матеріали)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оцінка витрат на експлуатацію обладнання (витратні матеріали та ресурси на одиницю обладнання на рік) Х кількість необхідних одиниць обладнання для одного суб'єкта малого підприємництва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Процедури обслуговування обладнання (технічне обслуговування)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оцінка вартості процедури обслуговування обладнання (на одиницю обладнання) Х кількість процедур технічного обслуговування на рік на одиницю обладнання Х кількість необхідних одиниць обладнання для одного суб'єкта малого підприємництва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процедури (сплата реєстраційного внеску за участь у конкурсі)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Разом, гривень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(сума рядків 1 + 2 + 3 + 4 + 5)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Одноразова сплата реєстраційного збору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більше як три</w:t>
            </w: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 xml:space="preserve"> мінімальні заробітні плати на момент сплати (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11169,00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момент складання  цього аналізу</w:t>
            </w: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суб'єктів господарювання, що повинні виконати вимоги положення, одиниць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 до кількості учасників інвестиційних конкурсів.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Сумарно, гривень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відповідн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а колонка </w:t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"разом" Х кількість суб'єктів малого підприємництва, що повинні виконати вимоги регулювання (рядок 6 Х рядок 7)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можливо визначити, оскільки 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суб’єктів передбачити неможливо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1023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витрати часу на отримання інформації про регулювання, отримання необхідних форм та заявок Х вартість часу суб'єкта малого підприємництва (заробітна плата) Х оціночна </w:t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кількість форм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Процедури організації виконання вимог регулювання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 часу на розроблення та впровадження внутрішніх для суб'єкта малого підприємництва процедур на впровадження вимог регулювання Х вартість часу 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Процедури офіційного звітування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суб'єктів, що користуються формами засобів, – окрема електронна звітність, звітність до органу, поштовим зв'язком тощо) + оцінка витрат часу на корегування (оцінка природного рівня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Процедури щодо забезпечення процесу перевірок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 часу на забезпечення процесу перевірок з боку контролюючих органів Х вартість часу суб'єкта малого підприємництва (заробітна плата) Х оціночна кількість перевірок за рік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оложенням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процедури ()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Разом, гривень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(сума рядків 9 + 10 + 11 + 12 +13)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Одноразова сплата реєстраційного збору н</w:t>
            </w: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 xml:space="preserve">е більше 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 xml:space="preserve"> мінімальні заробітні плати на момент сплати (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11169,00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момент складання  цього аналізу</w:t>
            </w: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 до кількості учасників інвестиційних конкурсів</w:t>
            </w:r>
          </w:p>
        </w:tc>
      </w:tr>
      <w:tr w:rsidR="00B632B9" w:rsidRPr="00FA0E6C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Сумарно, гривень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відповідн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а</w:t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колонка </w:t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"разом" Х кількість суб'єктів малого підприємництва, що повинні виконати вимоги регулювання (рядок 14 Х рядок 15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632B9" w:rsidRPr="004B5435" w:rsidRDefault="00B632B9" w:rsidP="00A538F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Неможливо визначити, оскільки 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суб’єктів передбачити неможливо</w:t>
            </w:r>
          </w:p>
        </w:tc>
      </w:tr>
    </w:tbl>
    <w:p w:rsidR="00B632B9" w:rsidRPr="004B5435" w:rsidRDefault="00B632B9" w:rsidP="00A538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VII. Обґрунтування запропонованого строку дії акта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Запропонований проект Положення запроваджується на довгостроковий термін дії, не менше 5 (п’яти) років або до прийняття нових нормативних актів.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У разі потреби, до нього вноситимуться зміни за підсумками аналізу відстеження результатів його дії.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VIII. Визначення показників результативності дії Положення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Прогнозними значеннями показників результативності є:</w:t>
      </w:r>
    </w:p>
    <w:p w:rsidR="00B632B9" w:rsidRPr="004B5435" w:rsidRDefault="00B632B9" w:rsidP="00A538F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розробка інвестиційних проектів щодо майна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B632B9" w:rsidRPr="004B5435" w:rsidRDefault="00B632B9" w:rsidP="00A538F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реалізація інвестиційних проектів щодо майна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</w:p>
    <w:p w:rsidR="00B632B9" w:rsidRPr="004B5435" w:rsidRDefault="00B632B9" w:rsidP="00A538F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надходження до бюджету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від інвестиційних проектів;</w:t>
      </w:r>
    </w:p>
    <w:p w:rsidR="00B632B9" w:rsidRPr="004B5435" w:rsidRDefault="00B632B9" w:rsidP="00A538F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зростання вартості наявного майна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щодо якого були здійснені інвестиції;</w:t>
      </w:r>
    </w:p>
    <w:p w:rsidR="00B632B9" w:rsidRPr="004B5435" w:rsidRDefault="00B632B9" w:rsidP="00A538F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отримання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облрадою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нового майна в результаті здійснених інвестицій.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IX. Визначення заходів, за допомогою яких здійснюватиметься відстеження результативності дії акта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Відносно цього акта повинно послідовно здійснюватися базове та повторне відстеження його результативності, зокрема:</w:t>
      </w:r>
    </w:p>
    <w:p w:rsidR="00B632B9" w:rsidRPr="004B5435" w:rsidRDefault="00B632B9" w:rsidP="00A538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базове відстеження результативності Положення буде проведено через рік після набрання чинності </w:t>
      </w:r>
      <w:r>
        <w:rPr>
          <w:rFonts w:ascii="Times New Roman" w:hAnsi="Times New Roman" w:cs="Times New Roman"/>
          <w:sz w:val="24"/>
          <w:szCs w:val="24"/>
          <w:lang w:eastAsia="uk-UA"/>
        </w:rPr>
        <w:t>р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ішенням;</w:t>
      </w:r>
    </w:p>
    <w:p w:rsidR="00B632B9" w:rsidRPr="004B5435" w:rsidRDefault="00B632B9" w:rsidP="00A538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повторне відстеження результативності – через два роки з дня набрання чинності цього </w:t>
      </w:r>
      <w:r>
        <w:rPr>
          <w:rFonts w:ascii="Times New Roman" w:hAnsi="Times New Roman" w:cs="Times New Roman"/>
          <w:sz w:val="24"/>
          <w:szCs w:val="24"/>
          <w:lang w:eastAsia="uk-UA"/>
        </w:rPr>
        <w:t>рішення.</w:t>
      </w:r>
    </w:p>
    <w:p w:rsidR="00B632B9" w:rsidRPr="004B5435" w:rsidRDefault="00B632B9" w:rsidP="00A5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Відповідні відстеження будуть проводитис</w:t>
      </w:r>
      <w:r>
        <w:rPr>
          <w:rFonts w:ascii="Times New Roman" w:hAnsi="Times New Roman" w:cs="Times New Roman"/>
          <w:sz w:val="24"/>
          <w:szCs w:val="24"/>
          <w:lang w:eastAsia="uk-UA"/>
        </w:rPr>
        <w:t>я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шляхом аналізу статистичних даних та показників реалізації інвестиційних проектів. </w:t>
      </w:r>
    </w:p>
    <w:sectPr w:rsidR="00B632B9" w:rsidRPr="004B5435" w:rsidSect="004B5435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B9" w:rsidRDefault="00B632B9" w:rsidP="004B5435">
      <w:pPr>
        <w:spacing w:after="0" w:line="240" w:lineRule="auto"/>
      </w:pPr>
      <w:r>
        <w:separator/>
      </w:r>
    </w:p>
  </w:endnote>
  <w:endnote w:type="continuationSeparator" w:id="0">
    <w:p w:rsidR="00B632B9" w:rsidRDefault="00B632B9" w:rsidP="004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B9" w:rsidRDefault="00CF15FA">
    <w:pPr>
      <w:pStyle w:val="a8"/>
      <w:jc w:val="center"/>
    </w:pPr>
    <w:fldSimple w:instr=" PAGE   \* MERGEFORMAT ">
      <w:r w:rsidR="00BB4350">
        <w:rPr>
          <w:noProof/>
        </w:rPr>
        <w:t>1</w:t>
      </w:r>
    </w:fldSimple>
  </w:p>
  <w:p w:rsidR="00B632B9" w:rsidRDefault="00B632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B9" w:rsidRDefault="00B632B9" w:rsidP="004B5435">
      <w:pPr>
        <w:spacing w:after="0" w:line="240" w:lineRule="auto"/>
      </w:pPr>
      <w:r>
        <w:separator/>
      </w:r>
    </w:p>
  </w:footnote>
  <w:footnote w:type="continuationSeparator" w:id="0">
    <w:p w:rsidR="00B632B9" w:rsidRDefault="00B632B9" w:rsidP="004B5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B"/>
    <w:multiLevelType w:val="hybridMultilevel"/>
    <w:tmpl w:val="9704016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F105CA"/>
    <w:multiLevelType w:val="hybridMultilevel"/>
    <w:tmpl w:val="9D4275C0"/>
    <w:lvl w:ilvl="0" w:tplc="A5B469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D14D7F"/>
    <w:multiLevelType w:val="hybridMultilevel"/>
    <w:tmpl w:val="9224121C"/>
    <w:lvl w:ilvl="0" w:tplc="FA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DD6"/>
    <w:multiLevelType w:val="hybridMultilevel"/>
    <w:tmpl w:val="437A0ABA"/>
    <w:lvl w:ilvl="0" w:tplc="A5B469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3479D5"/>
    <w:multiLevelType w:val="hybridMultilevel"/>
    <w:tmpl w:val="74E27EEC"/>
    <w:lvl w:ilvl="0" w:tplc="FA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A06E1"/>
    <w:multiLevelType w:val="hybridMultilevel"/>
    <w:tmpl w:val="51D4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E00"/>
    <w:multiLevelType w:val="hybridMultilevel"/>
    <w:tmpl w:val="B52CD782"/>
    <w:lvl w:ilvl="0" w:tplc="FA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C5D75"/>
    <w:multiLevelType w:val="hybridMultilevel"/>
    <w:tmpl w:val="46884330"/>
    <w:lvl w:ilvl="0" w:tplc="FA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B51"/>
    <w:multiLevelType w:val="hybridMultilevel"/>
    <w:tmpl w:val="7A241ECE"/>
    <w:lvl w:ilvl="0" w:tplc="CE9E141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C621A4"/>
    <w:multiLevelType w:val="hybridMultilevel"/>
    <w:tmpl w:val="9BBA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652C0"/>
    <w:multiLevelType w:val="hybridMultilevel"/>
    <w:tmpl w:val="BDC23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6F9"/>
    <w:rsid w:val="00045B5B"/>
    <w:rsid w:val="00055702"/>
    <w:rsid w:val="000E328B"/>
    <w:rsid w:val="00112662"/>
    <w:rsid w:val="001145FD"/>
    <w:rsid w:val="001221E1"/>
    <w:rsid w:val="0012629A"/>
    <w:rsid w:val="00186B07"/>
    <w:rsid w:val="001A1F03"/>
    <w:rsid w:val="001B1CDF"/>
    <w:rsid w:val="001B61A6"/>
    <w:rsid w:val="001E44F9"/>
    <w:rsid w:val="001F39F7"/>
    <w:rsid w:val="002071F5"/>
    <w:rsid w:val="002172C8"/>
    <w:rsid w:val="00240F0E"/>
    <w:rsid w:val="0025232A"/>
    <w:rsid w:val="00295126"/>
    <w:rsid w:val="002B4ACF"/>
    <w:rsid w:val="00333584"/>
    <w:rsid w:val="00343511"/>
    <w:rsid w:val="00354616"/>
    <w:rsid w:val="00365FF9"/>
    <w:rsid w:val="00373FBF"/>
    <w:rsid w:val="003803EC"/>
    <w:rsid w:val="003A7B8F"/>
    <w:rsid w:val="003E3091"/>
    <w:rsid w:val="003F19EC"/>
    <w:rsid w:val="00456BB2"/>
    <w:rsid w:val="00487B47"/>
    <w:rsid w:val="004B5435"/>
    <w:rsid w:val="004E264B"/>
    <w:rsid w:val="004F30DF"/>
    <w:rsid w:val="00500CE6"/>
    <w:rsid w:val="005027C8"/>
    <w:rsid w:val="00512A6A"/>
    <w:rsid w:val="0052611F"/>
    <w:rsid w:val="00552BAD"/>
    <w:rsid w:val="00582ED5"/>
    <w:rsid w:val="005B1E7A"/>
    <w:rsid w:val="005D331C"/>
    <w:rsid w:val="00620874"/>
    <w:rsid w:val="00645D51"/>
    <w:rsid w:val="006477E5"/>
    <w:rsid w:val="00650038"/>
    <w:rsid w:val="0067051A"/>
    <w:rsid w:val="006936E7"/>
    <w:rsid w:val="00695E53"/>
    <w:rsid w:val="006C0AF0"/>
    <w:rsid w:val="006C24BE"/>
    <w:rsid w:val="00701313"/>
    <w:rsid w:val="0071284B"/>
    <w:rsid w:val="007206F9"/>
    <w:rsid w:val="00732777"/>
    <w:rsid w:val="00733B24"/>
    <w:rsid w:val="007429FB"/>
    <w:rsid w:val="007561A8"/>
    <w:rsid w:val="00787812"/>
    <w:rsid w:val="00795135"/>
    <w:rsid w:val="007B4415"/>
    <w:rsid w:val="007D73C5"/>
    <w:rsid w:val="007E0789"/>
    <w:rsid w:val="008012EB"/>
    <w:rsid w:val="008027A7"/>
    <w:rsid w:val="008101F8"/>
    <w:rsid w:val="0081150C"/>
    <w:rsid w:val="00820AA0"/>
    <w:rsid w:val="008274B6"/>
    <w:rsid w:val="00836B79"/>
    <w:rsid w:val="0083782F"/>
    <w:rsid w:val="00841D8E"/>
    <w:rsid w:val="00860304"/>
    <w:rsid w:val="00865DD3"/>
    <w:rsid w:val="00866D15"/>
    <w:rsid w:val="0089032B"/>
    <w:rsid w:val="008C7A35"/>
    <w:rsid w:val="008E5A3C"/>
    <w:rsid w:val="008F725D"/>
    <w:rsid w:val="00906DBD"/>
    <w:rsid w:val="009351BB"/>
    <w:rsid w:val="00960762"/>
    <w:rsid w:val="00962254"/>
    <w:rsid w:val="00973CB2"/>
    <w:rsid w:val="009909A1"/>
    <w:rsid w:val="009D2997"/>
    <w:rsid w:val="00A00EEE"/>
    <w:rsid w:val="00A12749"/>
    <w:rsid w:val="00A151C6"/>
    <w:rsid w:val="00A27F13"/>
    <w:rsid w:val="00A538F2"/>
    <w:rsid w:val="00A83541"/>
    <w:rsid w:val="00AE6FF2"/>
    <w:rsid w:val="00AF601A"/>
    <w:rsid w:val="00B100E3"/>
    <w:rsid w:val="00B258DF"/>
    <w:rsid w:val="00B632B9"/>
    <w:rsid w:val="00B90DB4"/>
    <w:rsid w:val="00B927EF"/>
    <w:rsid w:val="00BA5E09"/>
    <w:rsid w:val="00BB4350"/>
    <w:rsid w:val="00BC27E0"/>
    <w:rsid w:val="00BD1B2E"/>
    <w:rsid w:val="00BD7996"/>
    <w:rsid w:val="00C05FF4"/>
    <w:rsid w:val="00C174BD"/>
    <w:rsid w:val="00C178AE"/>
    <w:rsid w:val="00C211F0"/>
    <w:rsid w:val="00C375EC"/>
    <w:rsid w:val="00C55A2D"/>
    <w:rsid w:val="00C800B5"/>
    <w:rsid w:val="00CA4B41"/>
    <w:rsid w:val="00CB1C6D"/>
    <w:rsid w:val="00CD1898"/>
    <w:rsid w:val="00CF15FA"/>
    <w:rsid w:val="00D03C03"/>
    <w:rsid w:val="00D35CB5"/>
    <w:rsid w:val="00D83E34"/>
    <w:rsid w:val="00DE1BF5"/>
    <w:rsid w:val="00DE2EF2"/>
    <w:rsid w:val="00E23496"/>
    <w:rsid w:val="00E5122D"/>
    <w:rsid w:val="00E65B59"/>
    <w:rsid w:val="00ED5AD9"/>
    <w:rsid w:val="00EE5EF2"/>
    <w:rsid w:val="00F548CE"/>
    <w:rsid w:val="00F604B7"/>
    <w:rsid w:val="00F7330F"/>
    <w:rsid w:val="00F95C5E"/>
    <w:rsid w:val="00FA0E6C"/>
    <w:rsid w:val="00FB3959"/>
    <w:rsid w:val="00FC1A12"/>
    <w:rsid w:val="00FC1EDC"/>
    <w:rsid w:val="00FD42FB"/>
    <w:rsid w:val="00FD73FB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C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9F7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1F39F7"/>
    <w:rPr>
      <w:b/>
      <w:bCs/>
    </w:rPr>
  </w:style>
  <w:style w:type="paragraph" w:styleId="a5">
    <w:name w:val="List Paragraph"/>
    <w:basedOn w:val="a"/>
    <w:uiPriority w:val="99"/>
    <w:qFormat/>
    <w:rsid w:val="00D83E34"/>
    <w:pPr>
      <w:ind w:left="720"/>
    </w:pPr>
  </w:style>
  <w:style w:type="paragraph" w:customStyle="1" w:styleId="rvps2">
    <w:name w:val="rvps2"/>
    <w:basedOn w:val="a"/>
    <w:uiPriority w:val="99"/>
    <w:rsid w:val="0073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48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uiPriority w:val="99"/>
    <w:rsid w:val="00487B47"/>
  </w:style>
  <w:style w:type="character" w:customStyle="1" w:styleId="rvts58">
    <w:name w:val="rvts58"/>
    <w:basedOn w:val="a0"/>
    <w:uiPriority w:val="99"/>
    <w:rsid w:val="00C211F0"/>
  </w:style>
  <w:style w:type="paragraph" w:customStyle="1" w:styleId="rvps14">
    <w:name w:val="rvps14"/>
    <w:basedOn w:val="a"/>
    <w:uiPriority w:val="99"/>
    <w:rsid w:val="00C2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rsid w:val="004B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435"/>
  </w:style>
  <w:style w:type="paragraph" w:styleId="a8">
    <w:name w:val="footer"/>
    <w:basedOn w:val="a"/>
    <w:link w:val="a9"/>
    <w:uiPriority w:val="99"/>
    <w:rsid w:val="004B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B5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2994</Words>
  <Characters>21187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Білоус</dc:creator>
  <cp:keywords/>
  <dc:description/>
  <cp:lastModifiedBy>UM19</cp:lastModifiedBy>
  <cp:revision>14</cp:revision>
  <dcterms:created xsi:type="dcterms:W3CDTF">2018-04-06T05:58:00Z</dcterms:created>
  <dcterms:modified xsi:type="dcterms:W3CDTF">2018-04-06T09:25:00Z</dcterms:modified>
</cp:coreProperties>
</file>