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22" w:rsidRDefault="00615822" w:rsidP="00764636">
      <w:pPr>
        <w:tabs>
          <w:tab w:val="center" w:pos="4819"/>
          <w:tab w:val="right" w:pos="9639"/>
        </w:tabs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РОЗПОРЯДЖЕННЯ</w:t>
      </w:r>
    </w:p>
    <w:p w:rsidR="00615822" w:rsidRDefault="00615822" w:rsidP="00764636">
      <w:pPr>
        <w:tabs>
          <w:tab w:val="center" w:pos="4819"/>
          <w:tab w:val="right" w:pos="9639"/>
        </w:tabs>
        <w:jc w:val="center"/>
        <w:rPr>
          <w:b/>
          <w:bCs/>
        </w:rPr>
      </w:pPr>
      <w:r>
        <w:rPr>
          <w:b/>
          <w:bCs/>
        </w:rPr>
        <w:t>ГОЛОВИ ЛЬВІВСЬКОЇ ОБЛАСНОЇ РАДИ</w:t>
      </w:r>
    </w:p>
    <w:p w:rsidR="00615822" w:rsidRDefault="00615822" w:rsidP="00764636">
      <w:pPr>
        <w:jc w:val="center"/>
        <w:rPr>
          <w:lang w:val="uk-UA"/>
        </w:rPr>
      </w:pPr>
      <w:r>
        <w:rPr>
          <w:b/>
          <w:bCs/>
        </w:rPr>
        <w:t xml:space="preserve">Від </w:t>
      </w:r>
      <w:r>
        <w:rPr>
          <w:b/>
          <w:bCs/>
          <w:lang w:val="uk-UA"/>
        </w:rPr>
        <w:t>26</w:t>
      </w:r>
      <w:r>
        <w:rPr>
          <w:b/>
          <w:bCs/>
        </w:rPr>
        <w:t xml:space="preserve"> липня 2017 р. № 1</w:t>
      </w:r>
      <w:r>
        <w:rPr>
          <w:b/>
          <w:bCs/>
          <w:lang w:val="uk-UA"/>
        </w:rPr>
        <w:t>197</w:t>
      </w:r>
    </w:p>
    <w:p w:rsidR="00615822" w:rsidRDefault="00615822">
      <w:pPr>
        <w:rPr>
          <w:lang w:val="uk-UA"/>
        </w:rPr>
      </w:pPr>
    </w:p>
    <w:p w:rsidR="00615822" w:rsidRDefault="00615822">
      <w:pPr>
        <w:rPr>
          <w:lang w:val="uk-UA"/>
        </w:rPr>
      </w:pPr>
      <w:r>
        <w:rPr>
          <w:lang w:val="uk-UA"/>
        </w:rPr>
        <w:t xml:space="preserve">          </w:t>
      </w:r>
    </w:p>
    <w:p w:rsidR="00615822" w:rsidRDefault="00615822" w:rsidP="002A4365">
      <w:pPr>
        <w:spacing w:after="0"/>
        <w:rPr>
          <w:lang w:val="uk-UA"/>
        </w:rPr>
      </w:pPr>
    </w:p>
    <w:p w:rsidR="00615822" w:rsidRDefault="00615822" w:rsidP="002A4365">
      <w:pPr>
        <w:spacing w:after="0"/>
        <w:rPr>
          <w:lang w:val="uk-UA"/>
        </w:rPr>
      </w:pPr>
    </w:p>
    <w:p w:rsidR="00615822" w:rsidRDefault="00615822" w:rsidP="002A4365">
      <w:pPr>
        <w:spacing w:after="0"/>
        <w:rPr>
          <w:lang w:val="uk-UA"/>
        </w:rPr>
      </w:pPr>
    </w:p>
    <w:p w:rsidR="00615822" w:rsidRPr="00F41008" w:rsidRDefault="00615822" w:rsidP="002A4365">
      <w:pPr>
        <w:spacing w:after="0" w:line="240" w:lineRule="auto"/>
        <w:jc w:val="center"/>
        <w:rPr>
          <w:b/>
          <w:bCs/>
          <w:u w:val="single"/>
          <w:lang w:val="uk-UA"/>
        </w:rPr>
      </w:pPr>
      <w:r w:rsidRPr="00F41008">
        <w:rPr>
          <w:b/>
          <w:bCs/>
          <w:u w:val="single"/>
          <w:lang w:val="uk-UA"/>
        </w:rPr>
        <w:t>Про створення  робочої групи з вивчення фінансово-господарської</w:t>
      </w:r>
    </w:p>
    <w:p w:rsidR="00615822" w:rsidRPr="00F41008" w:rsidRDefault="00615822" w:rsidP="002A4365">
      <w:pPr>
        <w:spacing w:after="0" w:line="240" w:lineRule="auto"/>
        <w:jc w:val="center"/>
        <w:rPr>
          <w:b/>
          <w:bCs/>
          <w:u w:val="single"/>
          <w:lang w:val="uk-UA"/>
        </w:rPr>
      </w:pPr>
      <w:r w:rsidRPr="00F41008">
        <w:rPr>
          <w:b/>
          <w:bCs/>
          <w:u w:val="single"/>
          <w:lang w:val="uk-UA"/>
        </w:rPr>
        <w:t xml:space="preserve">діяльності комунальних </w:t>
      </w:r>
      <w:r>
        <w:rPr>
          <w:b/>
          <w:bCs/>
          <w:u w:val="single"/>
          <w:lang w:val="uk-UA"/>
        </w:rPr>
        <w:t>закладів</w:t>
      </w:r>
      <w:r w:rsidRPr="00F41008">
        <w:rPr>
          <w:b/>
          <w:bCs/>
          <w:u w:val="single"/>
          <w:lang w:val="uk-UA"/>
        </w:rPr>
        <w:t xml:space="preserve"> Львівської обласної  ради</w:t>
      </w:r>
    </w:p>
    <w:p w:rsidR="00615822" w:rsidRDefault="00615822" w:rsidP="002A4365">
      <w:pPr>
        <w:spacing w:after="0" w:line="240" w:lineRule="auto"/>
        <w:rPr>
          <w:u w:val="single"/>
          <w:lang w:val="uk-UA"/>
        </w:rPr>
      </w:pPr>
    </w:p>
    <w:p w:rsidR="00615822" w:rsidRDefault="00615822" w:rsidP="00780046">
      <w:pPr>
        <w:spacing w:after="0"/>
        <w:jc w:val="both"/>
        <w:rPr>
          <w:lang w:val="uk-UA"/>
        </w:rPr>
      </w:pPr>
      <w:r w:rsidRPr="002A4365">
        <w:rPr>
          <w:lang w:val="uk-UA"/>
        </w:rPr>
        <w:t xml:space="preserve">                   Керу</w:t>
      </w:r>
      <w:r>
        <w:rPr>
          <w:lang w:val="uk-UA"/>
        </w:rPr>
        <w:t>ючись статтею 55 Закону України «Про місцеве  самоврядування в Україні», з метою  аналізу діяльності комунальних  закладів обласної  ради:</w:t>
      </w:r>
    </w:p>
    <w:p w:rsidR="00615822" w:rsidRDefault="00615822" w:rsidP="00780046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         1. Створити робочу групу з вивчення фінансово-господарської  діяльності комунальних  закладів (далі – робоча група).</w:t>
      </w:r>
    </w:p>
    <w:p w:rsidR="00615822" w:rsidRDefault="00615822" w:rsidP="00780046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          2. Затвердити   персональний   склад    робочої    групи  згідно  з додатком.</w:t>
      </w:r>
    </w:p>
    <w:p w:rsidR="00615822" w:rsidRDefault="00615822" w:rsidP="00780046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         3. Робочій  групі:</w:t>
      </w:r>
    </w:p>
    <w:p w:rsidR="00615822" w:rsidRPr="00CC065A" w:rsidRDefault="00615822" w:rsidP="00780046">
      <w:pPr>
        <w:spacing w:after="0"/>
        <w:jc w:val="both"/>
      </w:pPr>
      <w:r>
        <w:rPr>
          <w:lang w:val="uk-UA"/>
        </w:rPr>
        <w:t xml:space="preserve">                  </w:t>
      </w:r>
      <w:r w:rsidRPr="00CC065A">
        <w:t xml:space="preserve"> </w:t>
      </w:r>
      <w:r>
        <w:rPr>
          <w:lang w:val="uk-UA"/>
        </w:rPr>
        <w:t>- скласти  графіки    слухань  керівників   про  діяльність</w:t>
      </w:r>
      <w:r w:rsidRPr="00780046">
        <w:t xml:space="preserve"> </w:t>
      </w:r>
      <w:r>
        <w:rPr>
          <w:lang w:val="uk-UA"/>
        </w:rPr>
        <w:t xml:space="preserve"> комунальних закладів</w:t>
      </w:r>
      <w:r w:rsidRPr="00780046">
        <w:t xml:space="preserve"> </w:t>
      </w:r>
      <w:r>
        <w:rPr>
          <w:lang w:val="uk-UA"/>
        </w:rPr>
        <w:t xml:space="preserve"> за період з 1 січня 2016 року до 1 липня 2017 року;</w:t>
      </w:r>
    </w:p>
    <w:p w:rsidR="00615822" w:rsidRDefault="00615822" w:rsidP="00CC065A">
      <w:pPr>
        <w:spacing w:after="0"/>
        <w:jc w:val="both"/>
        <w:rPr>
          <w:lang w:val="uk-UA"/>
        </w:rPr>
      </w:pPr>
      <w:r w:rsidRPr="00CC065A">
        <w:t xml:space="preserve">                   </w:t>
      </w:r>
      <w:r>
        <w:rPr>
          <w:lang w:val="uk-UA"/>
        </w:rPr>
        <w:t>-  організувати  виїзди в комунальні заклади обласної ради з метою вивчення їх фінансово-господарської   діяльності;</w:t>
      </w:r>
    </w:p>
    <w:p w:rsidR="00615822" w:rsidRDefault="00615822" w:rsidP="00780046">
      <w:pPr>
        <w:spacing w:after="0"/>
        <w:jc w:val="both"/>
        <w:rPr>
          <w:lang w:val="uk-UA"/>
        </w:rPr>
      </w:pPr>
      <w:r w:rsidRPr="00CC065A">
        <w:t xml:space="preserve">       </w:t>
      </w:r>
      <w:r>
        <w:rPr>
          <w:lang w:val="uk-UA"/>
        </w:rPr>
        <w:t xml:space="preserve">            - підготувати  обґрунтовані  висновки і пропозиції щодо подальшої діяльності комунальних закладів. </w:t>
      </w:r>
    </w:p>
    <w:p w:rsidR="00615822" w:rsidRDefault="00615822" w:rsidP="00780046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        4. Контроль за  виконанням розпорядження покласти на керуючого справами обласної ради В. Харлова.</w:t>
      </w:r>
    </w:p>
    <w:p w:rsidR="00615822" w:rsidRDefault="00615822" w:rsidP="00EB335E">
      <w:pPr>
        <w:spacing w:after="0"/>
        <w:jc w:val="both"/>
        <w:rPr>
          <w:lang w:val="uk-UA"/>
        </w:rPr>
      </w:pPr>
    </w:p>
    <w:p w:rsidR="00615822" w:rsidRDefault="00615822" w:rsidP="00EB335E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    </w:t>
      </w:r>
    </w:p>
    <w:p w:rsidR="00615822" w:rsidRPr="008D1FD4" w:rsidRDefault="00615822" w:rsidP="00EB335E">
      <w:pPr>
        <w:spacing w:after="0"/>
        <w:jc w:val="both"/>
        <w:rPr>
          <w:b/>
          <w:bCs/>
          <w:lang w:val="uk-UA"/>
        </w:rPr>
      </w:pPr>
      <w:r w:rsidRPr="008D1FD4">
        <w:rPr>
          <w:b/>
          <w:bCs/>
          <w:lang w:val="uk-UA"/>
        </w:rPr>
        <w:t xml:space="preserve">Заступник голови </w:t>
      </w:r>
    </w:p>
    <w:p w:rsidR="00615822" w:rsidRPr="008D1FD4" w:rsidRDefault="00615822" w:rsidP="00EB335E">
      <w:pPr>
        <w:spacing w:after="0"/>
        <w:jc w:val="both"/>
        <w:rPr>
          <w:b/>
          <w:bCs/>
          <w:lang w:val="uk-UA"/>
        </w:rPr>
      </w:pPr>
      <w:r w:rsidRPr="008D1FD4">
        <w:rPr>
          <w:b/>
          <w:bCs/>
          <w:lang w:val="uk-UA"/>
        </w:rPr>
        <w:t>обласної ради                                                                       Володимир ГІРНЯК</w:t>
      </w:r>
    </w:p>
    <w:p w:rsidR="00615822" w:rsidRPr="008D1FD4" w:rsidRDefault="00615822" w:rsidP="00EB335E">
      <w:pPr>
        <w:spacing w:after="0"/>
        <w:jc w:val="both"/>
        <w:rPr>
          <w:b/>
          <w:bCs/>
          <w:lang w:val="uk-UA"/>
        </w:rPr>
      </w:pPr>
    </w:p>
    <w:p w:rsidR="00615822" w:rsidRPr="008D1FD4" w:rsidRDefault="00615822" w:rsidP="00EB335E">
      <w:pPr>
        <w:spacing w:after="0"/>
        <w:jc w:val="both"/>
        <w:rPr>
          <w:b/>
          <w:bCs/>
          <w:lang w:val="uk-UA"/>
        </w:rPr>
      </w:pPr>
    </w:p>
    <w:p w:rsidR="00615822" w:rsidRDefault="00615822" w:rsidP="00EB335E">
      <w:pPr>
        <w:spacing w:after="0"/>
        <w:jc w:val="both"/>
        <w:rPr>
          <w:lang w:val="uk-UA"/>
        </w:rPr>
      </w:pPr>
    </w:p>
    <w:p w:rsidR="00615822" w:rsidRDefault="00615822" w:rsidP="00EB335E">
      <w:pPr>
        <w:spacing w:after="0"/>
        <w:jc w:val="both"/>
        <w:rPr>
          <w:lang w:val="uk-UA"/>
        </w:rPr>
      </w:pPr>
    </w:p>
    <w:p w:rsidR="00615822" w:rsidRDefault="00615822" w:rsidP="00EB335E">
      <w:pPr>
        <w:spacing w:after="0"/>
        <w:jc w:val="both"/>
        <w:rPr>
          <w:lang w:val="uk-UA"/>
        </w:rPr>
      </w:pPr>
    </w:p>
    <w:p w:rsidR="00615822" w:rsidRDefault="00615822" w:rsidP="00EB335E">
      <w:pPr>
        <w:spacing w:after="0"/>
        <w:jc w:val="both"/>
        <w:rPr>
          <w:lang w:val="uk-UA"/>
        </w:rPr>
      </w:pPr>
    </w:p>
    <w:p w:rsidR="00615822" w:rsidRDefault="00615822" w:rsidP="00EB335E">
      <w:pPr>
        <w:spacing w:after="0"/>
        <w:jc w:val="both"/>
        <w:rPr>
          <w:lang w:val="uk-UA"/>
        </w:rPr>
      </w:pPr>
    </w:p>
    <w:p w:rsidR="00615822" w:rsidRDefault="00615822" w:rsidP="00EB335E">
      <w:pPr>
        <w:spacing w:after="0"/>
        <w:jc w:val="both"/>
        <w:rPr>
          <w:lang w:val="uk-UA"/>
        </w:rPr>
      </w:pPr>
    </w:p>
    <w:p w:rsidR="00615822" w:rsidRDefault="00615822" w:rsidP="00EB335E">
      <w:pPr>
        <w:spacing w:after="0"/>
        <w:jc w:val="both"/>
        <w:rPr>
          <w:lang w:val="uk-UA"/>
        </w:rPr>
      </w:pPr>
    </w:p>
    <w:p w:rsidR="00615822" w:rsidRDefault="00615822" w:rsidP="00EB335E">
      <w:pPr>
        <w:spacing w:after="0"/>
        <w:jc w:val="both"/>
        <w:rPr>
          <w:lang w:val="uk-UA"/>
        </w:rPr>
      </w:pPr>
    </w:p>
    <w:p w:rsidR="00615822" w:rsidRDefault="00615822" w:rsidP="00EB335E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Додаток</w:t>
      </w:r>
    </w:p>
    <w:p w:rsidR="00615822" w:rsidRDefault="00615822" w:rsidP="00EB335E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до розпорядження голови обласної</w:t>
      </w:r>
    </w:p>
    <w:p w:rsidR="00615822" w:rsidRDefault="00615822" w:rsidP="00EB335E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ради від _______________ </w:t>
      </w:r>
    </w:p>
    <w:p w:rsidR="00615822" w:rsidRDefault="00615822" w:rsidP="00EB335E">
      <w:pPr>
        <w:spacing w:after="0"/>
        <w:jc w:val="both"/>
        <w:rPr>
          <w:lang w:val="uk-UA"/>
        </w:rPr>
      </w:pPr>
    </w:p>
    <w:p w:rsidR="00615822" w:rsidRPr="00F41008" w:rsidRDefault="00615822" w:rsidP="009A50AB">
      <w:pPr>
        <w:spacing w:after="0"/>
        <w:jc w:val="center"/>
        <w:rPr>
          <w:b/>
          <w:bCs/>
          <w:lang w:val="uk-UA"/>
        </w:rPr>
      </w:pPr>
      <w:r w:rsidRPr="00F41008">
        <w:rPr>
          <w:b/>
          <w:bCs/>
          <w:lang w:val="uk-UA"/>
        </w:rPr>
        <w:t>Персональний склад</w:t>
      </w:r>
    </w:p>
    <w:p w:rsidR="00615822" w:rsidRPr="00F41008" w:rsidRDefault="00615822" w:rsidP="009A50AB">
      <w:pPr>
        <w:spacing w:after="0"/>
        <w:jc w:val="center"/>
        <w:rPr>
          <w:b/>
          <w:bCs/>
          <w:lang w:val="uk-UA"/>
        </w:rPr>
      </w:pPr>
      <w:r w:rsidRPr="00F41008">
        <w:rPr>
          <w:b/>
          <w:bCs/>
          <w:lang w:val="uk-UA"/>
        </w:rPr>
        <w:t xml:space="preserve">робочої групи  з вивчення фінансово-господарської діяльності </w:t>
      </w:r>
    </w:p>
    <w:p w:rsidR="00615822" w:rsidRPr="00F41008" w:rsidRDefault="00615822" w:rsidP="009A50AB">
      <w:pPr>
        <w:spacing w:after="0"/>
        <w:jc w:val="center"/>
        <w:rPr>
          <w:b/>
          <w:bCs/>
          <w:lang w:val="uk-UA"/>
        </w:rPr>
      </w:pPr>
      <w:r w:rsidRPr="00F41008">
        <w:rPr>
          <w:b/>
          <w:bCs/>
          <w:lang w:val="uk-UA"/>
        </w:rPr>
        <w:t>комунальних закладів Львівської обласної ради</w:t>
      </w:r>
    </w:p>
    <w:p w:rsidR="00615822" w:rsidRPr="0054579F" w:rsidRDefault="00615822" w:rsidP="0054579F">
      <w:pPr>
        <w:pStyle w:val="ListParagraph"/>
        <w:numPr>
          <w:ilvl w:val="0"/>
          <w:numId w:val="2"/>
        </w:numPr>
        <w:spacing w:after="0"/>
        <w:jc w:val="both"/>
        <w:rPr>
          <w:lang w:val="uk-UA"/>
        </w:rPr>
      </w:pPr>
      <w:r w:rsidRPr="0054579F">
        <w:rPr>
          <w:lang w:val="uk-UA"/>
        </w:rPr>
        <w:t>Голова робочої групи:</w:t>
      </w:r>
    </w:p>
    <w:p w:rsidR="00615822" w:rsidRDefault="00615822" w:rsidP="009A50AB">
      <w:pPr>
        <w:pStyle w:val="ListParagraph"/>
        <w:spacing w:after="0"/>
        <w:ind w:left="900"/>
        <w:jc w:val="both"/>
        <w:rPr>
          <w:lang w:val="uk-UA"/>
        </w:rPr>
      </w:pPr>
      <w:r>
        <w:rPr>
          <w:lang w:val="uk-UA"/>
        </w:rPr>
        <w:t xml:space="preserve"> 1.1. Володимир Гірняк</w:t>
      </w:r>
      <w:r w:rsidRPr="00F41008">
        <w:t xml:space="preserve"> </w:t>
      </w:r>
      <w:r>
        <w:rPr>
          <w:lang w:val="uk-UA"/>
        </w:rPr>
        <w:t>–</w:t>
      </w:r>
      <w:r w:rsidRPr="00F41008">
        <w:t xml:space="preserve"> </w:t>
      </w:r>
      <w:r>
        <w:rPr>
          <w:lang w:val="uk-UA"/>
        </w:rPr>
        <w:t>заступник голови обласної  ради.</w:t>
      </w:r>
    </w:p>
    <w:p w:rsidR="00615822" w:rsidRDefault="00615822" w:rsidP="009A50AB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2.  Секретар робочої групи:</w:t>
      </w:r>
    </w:p>
    <w:p w:rsidR="00615822" w:rsidRDefault="00615822" w:rsidP="009A50AB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   2.1. Оксана </w:t>
      </w:r>
      <w:r w:rsidRPr="00F41008">
        <w:t xml:space="preserve"> </w:t>
      </w:r>
      <w:r>
        <w:rPr>
          <w:lang w:val="uk-UA"/>
        </w:rPr>
        <w:t>Соболь – радник відділу з питань бюджету  та обласних програм обласної ради.</w:t>
      </w:r>
    </w:p>
    <w:p w:rsidR="00615822" w:rsidRDefault="00615822" w:rsidP="009A50AB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3.  Члени робочої  групи:</w:t>
      </w:r>
    </w:p>
    <w:p w:rsidR="00615822" w:rsidRDefault="00615822" w:rsidP="009A50AB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    3.1. Олег Домчак – голова постійної комісії з питань бюджету, соціально-економічного розвитку обласної ради.</w:t>
      </w:r>
    </w:p>
    <w:p w:rsidR="00615822" w:rsidRDefault="00615822" w:rsidP="009A50AB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    3.2. Ігор Комарницький – голова постійної комісії з питань комунального майна та приватизації.</w:t>
      </w:r>
    </w:p>
    <w:p w:rsidR="00615822" w:rsidRDefault="00615822" w:rsidP="009A50AB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FC5627">
        <w:t xml:space="preserve"> </w:t>
      </w:r>
      <w:r>
        <w:rPr>
          <w:lang w:val="uk-UA"/>
        </w:rPr>
        <w:t xml:space="preserve"> 3.3. Михайло Гичка – голова постійної комісії з питань охорони  здоров</w:t>
      </w:r>
      <w:r w:rsidRPr="00084440">
        <w:t>’</w:t>
      </w:r>
      <w:r>
        <w:rPr>
          <w:lang w:val="uk-UA"/>
        </w:rPr>
        <w:t xml:space="preserve">я, соціального захисту, молодіжної політики, фізичної культури та спорту. </w:t>
      </w:r>
    </w:p>
    <w:p w:rsidR="00615822" w:rsidRDefault="00615822" w:rsidP="009A50AB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84440">
        <w:t xml:space="preserve"> </w:t>
      </w:r>
      <w:r>
        <w:rPr>
          <w:lang w:val="uk-UA"/>
        </w:rPr>
        <w:t xml:space="preserve">  3.4. Андрій Ковч  – голова постійної  комісії з питань депутатської діяльності, етики, регламенту, свободи слова та антикорупційної  політики.</w:t>
      </w:r>
    </w:p>
    <w:p w:rsidR="00615822" w:rsidRDefault="00615822" w:rsidP="009A50AB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   3.5. Володимир Вантух – голова постійної комісії з питань освіти і науки</w:t>
      </w:r>
    </w:p>
    <w:p w:rsidR="00615822" w:rsidRDefault="00615822" w:rsidP="009A50AB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   3.6. Юрій Візняк </w:t>
      </w:r>
      <w:r>
        <w:rPr>
          <w:lang w:val="uk-UA"/>
        </w:rPr>
        <w:softHyphen/>
        <w:t xml:space="preserve">– голова постійної комісії з питань культури, історико-культурної спадщини, туризму, духовного  відродження та засобів масової інформації. </w:t>
      </w:r>
    </w:p>
    <w:p w:rsidR="00615822" w:rsidRPr="00FC5627" w:rsidRDefault="00615822" w:rsidP="009A50AB">
      <w:pPr>
        <w:spacing w:after="0"/>
        <w:jc w:val="both"/>
      </w:pPr>
      <w:r>
        <w:rPr>
          <w:lang w:val="uk-UA"/>
        </w:rPr>
        <w:t xml:space="preserve">             3.7. Микола Бандра – начальник управління  майном спільної власності обласної ради. </w:t>
      </w:r>
    </w:p>
    <w:p w:rsidR="00615822" w:rsidRPr="00FC5627" w:rsidRDefault="00615822" w:rsidP="009A50AB">
      <w:pPr>
        <w:spacing w:after="0"/>
        <w:jc w:val="both"/>
        <w:rPr>
          <w:lang w:val="uk-UA"/>
        </w:rPr>
      </w:pPr>
      <w:r w:rsidRPr="00F76666">
        <w:t xml:space="preserve">            </w:t>
      </w:r>
      <w:r>
        <w:rPr>
          <w:lang w:val="uk-UA"/>
        </w:rPr>
        <w:t xml:space="preserve"> </w:t>
      </w:r>
      <w:r w:rsidRPr="00FC5627">
        <w:t>3.</w:t>
      </w:r>
      <w:r>
        <w:rPr>
          <w:lang w:val="uk-UA"/>
        </w:rPr>
        <w:t>8</w:t>
      </w:r>
      <w:r w:rsidRPr="00FC5627">
        <w:t>.</w:t>
      </w:r>
      <w:r>
        <w:rPr>
          <w:lang w:val="uk-UA"/>
        </w:rPr>
        <w:t xml:space="preserve">  Іван Собко  – заступник керуючого справами обласної ради.  </w:t>
      </w:r>
    </w:p>
    <w:p w:rsidR="00615822" w:rsidRDefault="00615822" w:rsidP="009A50AB">
      <w:pPr>
        <w:spacing w:after="0"/>
        <w:jc w:val="both"/>
        <w:rPr>
          <w:lang w:val="uk-UA"/>
        </w:rPr>
      </w:pPr>
      <w:r>
        <w:rPr>
          <w:lang w:val="uk-UA"/>
        </w:rPr>
        <w:t xml:space="preserve">             3.9. Тетяна Скрипець – начальник відділу з питань бюджету та обласних програм обласної ради.</w:t>
      </w:r>
    </w:p>
    <w:p w:rsidR="00615822" w:rsidRDefault="00615822" w:rsidP="009A50AB">
      <w:pPr>
        <w:spacing w:after="0"/>
        <w:jc w:val="both"/>
        <w:rPr>
          <w:lang w:val="uk-UA"/>
        </w:rPr>
      </w:pPr>
    </w:p>
    <w:p w:rsidR="00615822" w:rsidRPr="00F673EA" w:rsidRDefault="00615822" w:rsidP="009A50AB">
      <w:pPr>
        <w:spacing w:after="0"/>
        <w:jc w:val="both"/>
        <w:rPr>
          <w:b/>
          <w:bCs/>
          <w:lang w:val="uk-UA"/>
        </w:rPr>
      </w:pPr>
      <w:r w:rsidRPr="00F673EA">
        <w:rPr>
          <w:b/>
          <w:bCs/>
          <w:lang w:val="uk-UA"/>
        </w:rPr>
        <w:t xml:space="preserve">Керуючий справами </w:t>
      </w:r>
    </w:p>
    <w:p w:rsidR="00615822" w:rsidRPr="00A5680D" w:rsidRDefault="00615822" w:rsidP="009A50AB">
      <w:pPr>
        <w:spacing w:after="0"/>
        <w:jc w:val="both"/>
        <w:rPr>
          <w:b/>
          <w:bCs/>
        </w:rPr>
      </w:pPr>
      <w:r w:rsidRPr="00F673EA">
        <w:rPr>
          <w:b/>
          <w:bCs/>
          <w:lang w:val="uk-UA"/>
        </w:rPr>
        <w:t>обласної ради                                                                     Валентин ХАРЛОВ</w:t>
      </w:r>
    </w:p>
    <w:p w:rsidR="00615822" w:rsidRPr="00A5680D" w:rsidRDefault="00615822" w:rsidP="009A50AB">
      <w:pPr>
        <w:spacing w:after="0"/>
        <w:jc w:val="both"/>
        <w:rPr>
          <w:b/>
          <w:bCs/>
        </w:rPr>
      </w:pPr>
    </w:p>
    <w:p w:rsidR="00615822" w:rsidRPr="00FC5AA3" w:rsidRDefault="00615822" w:rsidP="00F76666">
      <w:pPr>
        <w:pStyle w:val="Heading3"/>
        <w:spacing w:before="0" w:beforeAutospacing="0" w:after="0" w:afterAutospacing="0"/>
        <w:rPr>
          <w:b w:val="0"/>
          <w:bCs w:val="0"/>
        </w:rPr>
      </w:pPr>
    </w:p>
    <w:p w:rsidR="00615822" w:rsidRPr="00FC5AA3" w:rsidRDefault="00615822" w:rsidP="00F76666">
      <w:pPr>
        <w:pStyle w:val="Heading3"/>
        <w:spacing w:before="0" w:beforeAutospacing="0" w:after="0" w:afterAutospacing="0"/>
        <w:rPr>
          <w:b w:val="0"/>
          <w:bCs w:val="0"/>
        </w:rPr>
      </w:pPr>
    </w:p>
    <w:p w:rsidR="00615822" w:rsidRPr="00FC5AA3" w:rsidRDefault="00615822" w:rsidP="00F76666">
      <w:pPr>
        <w:pStyle w:val="Heading3"/>
        <w:spacing w:before="0" w:beforeAutospacing="0" w:after="0" w:afterAutospacing="0"/>
        <w:rPr>
          <w:b w:val="0"/>
          <w:bCs w:val="0"/>
        </w:rPr>
      </w:pPr>
    </w:p>
    <w:p w:rsidR="00615822" w:rsidRPr="00FC5AA3" w:rsidRDefault="00615822" w:rsidP="00F76666">
      <w:pPr>
        <w:pStyle w:val="Heading3"/>
        <w:spacing w:before="0" w:beforeAutospacing="0" w:after="0" w:afterAutospacing="0"/>
        <w:rPr>
          <w:b w:val="0"/>
          <w:bCs w:val="0"/>
        </w:rPr>
      </w:pPr>
    </w:p>
    <w:p w:rsidR="00615822" w:rsidRPr="00FC5AA3" w:rsidRDefault="00615822" w:rsidP="00F76666">
      <w:pPr>
        <w:pStyle w:val="Heading3"/>
        <w:spacing w:before="0" w:beforeAutospacing="0" w:after="0" w:afterAutospacing="0"/>
        <w:rPr>
          <w:b w:val="0"/>
          <w:bCs w:val="0"/>
        </w:rPr>
      </w:pPr>
    </w:p>
    <w:p w:rsidR="00615822" w:rsidRPr="00FC5AA3" w:rsidRDefault="00615822" w:rsidP="00F76666">
      <w:pPr>
        <w:pStyle w:val="Heading3"/>
        <w:spacing w:before="0" w:beforeAutospacing="0" w:after="0" w:afterAutospacing="0"/>
        <w:rPr>
          <w:b w:val="0"/>
          <w:bCs w:val="0"/>
        </w:rPr>
      </w:pPr>
    </w:p>
    <w:p w:rsidR="00615822" w:rsidRPr="00FC5AA3" w:rsidRDefault="00615822" w:rsidP="00F76666">
      <w:pPr>
        <w:pStyle w:val="Heading3"/>
        <w:spacing w:before="0" w:beforeAutospacing="0" w:after="0" w:afterAutospacing="0"/>
        <w:rPr>
          <w:b w:val="0"/>
          <w:bCs w:val="0"/>
        </w:rPr>
      </w:pPr>
    </w:p>
    <w:p w:rsidR="00615822" w:rsidRPr="00FC5AA3" w:rsidRDefault="00615822" w:rsidP="00F76666">
      <w:pPr>
        <w:pStyle w:val="Heading3"/>
        <w:spacing w:before="0" w:beforeAutospacing="0" w:after="0" w:afterAutospacing="0"/>
        <w:rPr>
          <w:b w:val="0"/>
          <w:bCs w:val="0"/>
        </w:rPr>
      </w:pPr>
    </w:p>
    <w:p w:rsidR="00615822" w:rsidRPr="00FC5AA3" w:rsidRDefault="00615822" w:rsidP="00F76666">
      <w:pPr>
        <w:pStyle w:val="Heading3"/>
        <w:spacing w:before="0" w:beforeAutospacing="0" w:after="0" w:afterAutospacing="0"/>
        <w:rPr>
          <w:b w:val="0"/>
          <w:bCs w:val="0"/>
        </w:rPr>
      </w:pPr>
    </w:p>
    <w:p w:rsidR="00615822" w:rsidRPr="00FC5AA3" w:rsidRDefault="00615822" w:rsidP="00F76666">
      <w:pPr>
        <w:pStyle w:val="Heading3"/>
        <w:spacing w:before="0" w:beforeAutospacing="0" w:after="0" w:afterAutospacing="0"/>
        <w:rPr>
          <w:b w:val="0"/>
          <w:bCs w:val="0"/>
        </w:rPr>
      </w:pPr>
    </w:p>
    <w:p w:rsidR="00615822" w:rsidRPr="00FC5AA3" w:rsidRDefault="00615822" w:rsidP="00F76666">
      <w:pPr>
        <w:pStyle w:val="Heading3"/>
        <w:spacing w:before="0" w:beforeAutospacing="0" w:after="0" w:afterAutospacing="0"/>
        <w:rPr>
          <w:b w:val="0"/>
          <w:bCs w:val="0"/>
        </w:rPr>
      </w:pPr>
    </w:p>
    <w:p w:rsidR="00615822" w:rsidRPr="00FC5AA3" w:rsidRDefault="00615822" w:rsidP="00F76666">
      <w:pPr>
        <w:pStyle w:val="Heading3"/>
        <w:spacing w:before="0" w:beforeAutospacing="0" w:after="0" w:afterAutospacing="0"/>
        <w:rPr>
          <w:b w:val="0"/>
          <w:bCs w:val="0"/>
        </w:rPr>
      </w:pPr>
    </w:p>
    <w:sectPr w:rsidR="00615822" w:rsidRPr="00FC5AA3" w:rsidSect="0006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C666B"/>
    <w:multiLevelType w:val="hybridMultilevel"/>
    <w:tmpl w:val="42C29912"/>
    <w:lvl w:ilvl="0" w:tplc="BDAE45C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B8E2B2E"/>
    <w:multiLevelType w:val="hybridMultilevel"/>
    <w:tmpl w:val="44864592"/>
    <w:lvl w:ilvl="0" w:tplc="80BA0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365"/>
    <w:rsid w:val="00022B89"/>
    <w:rsid w:val="00034ED3"/>
    <w:rsid w:val="000655FA"/>
    <w:rsid w:val="00084440"/>
    <w:rsid w:val="00087A46"/>
    <w:rsid w:val="000C3DB2"/>
    <w:rsid w:val="000C46E3"/>
    <w:rsid w:val="000D3F16"/>
    <w:rsid w:val="0011386E"/>
    <w:rsid w:val="0018050F"/>
    <w:rsid w:val="00194E59"/>
    <w:rsid w:val="0025033A"/>
    <w:rsid w:val="002514AC"/>
    <w:rsid w:val="00273C78"/>
    <w:rsid w:val="00281B3B"/>
    <w:rsid w:val="0028382B"/>
    <w:rsid w:val="002A4365"/>
    <w:rsid w:val="002B2694"/>
    <w:rsid w:val="002C4F83"/>
    <w:rsid w:val="002D2C6E"/>
    <w:rsid w:val="002F60FE"/>
    <w:rsid w:val="0032213D"/>
    <w:rsid w:val="00325D31"/>
    <w:rsid w:val="0033145E"/>
    <w:rsid w:val="00342884"/>
    <w:rsid w:val="0034341A"/>
    <w:rsid w:val="00375555"/>
    <w:rsid w:val="00403978"/>
    <w:rsid w:val="00436A2F"/>
    <w:rsid w:val="00453D9C"/>
    <w:rsid w:val="004A024F"/>
    <w:rsid w:val="004C5448"/>
    <w:rsid w:val="004F2034"/>
    <w:rsid w:val="00527A33"/>
    <w:rsid w:val="00542423"/>
    <w:rsid w:val="0054579F"/>
    <w:rsid w:val="00572BCB"/>
    <w:rsid w:val="005C7FAA"/>
    <w:rsid w:val="005E0CC6"/>
    <w:rsid w:val="005E42D3"/>
    <w:rsid w:val="00615822"/>
    <w:rsid w:val="00631E46"/>
    <w:rsid w:val="0064289E"/>
    <w:rsid w:val="00656B5A"/>
    <w:rsid w:val="006C2F28"/>
    <w:rsid w:val="006F10CA"/>
    <w:rsid w:val="006F5997"/>
    <w:rsid w:val="00731834"/>
    <w:rsid w:val="00764636"/>
    <w:rsid w:val="00780046"/>
    <w:rsid w:val="007914C2"/>
    <w:rsid w:val="007F429F"/>
    <w:rsid w:val="00807635"/>
    <w:rsid w:val="008112E8"/>
    <w:rsid w:val="00877B7B"/>
    <w:rsid w:val="008D1FD4"/>
    <w:rsid w:val="0096283A"/>
    <w:rsid w:val="009748AB"/>
    <w:rsid w:val="009A50AB"/>
    <w:rsid w:val="00A5680D"/>
    <w:rsid w:val="00A57B76"/>
    <w:rsid w:val="00A6695C"/>
    <w:rsid w:val="00AB22A4"/>
    <w:rsid w:val="00AB3DC3"/>
    <w:rsid w:val="00B2284F"/>
    <w:rsid w:val="00B644CB"/>
    <w:rsid w:val="00BB2E40"/>
    <w:rsid w:val="00BB3453"/>
    <w:rsid w:val="00BD3F13"/>
    <w:rsid w:val="00C927C2"/>
    <w:rsid w:val="00CA552C"/>
    <w:rsid w:val="00CB19B7"/>
    <w:rsid w:val="00CB3A83"/>
    <w:rsid w:val="00CC065A"/>
    <w:rsid w:val="00CC3728"/>
    <w:rsid w:val="00CD70EE"/>
    <w:rsid w:val="00CF592D"/>
    <w:rsid w:val="00D11C64"/>
    <w:rsid w:val="00D50805"/>
    <w:rsid w:val="00D5319A"/>
    <w:rsid w:val="00DE66B2"/>
    <w:rsid w:val="00DF45E2"/>
    <w:rsid w:val="00E136B4"/>
    <w:rsid w:val="00E138DD"/>
    <w:rsid w:val="00EA4193"/>
    <w:rsid w:val="00EA5FDA"/>
    <w:rsid w:val="00EB335E"/>
    <w:rsid w:val="00EC3C5B"/>
    <w:rsid w:val="00F10924"/>
    <w:rsid w:val="00F41008"/>
    <w:rsid w:val="00F673EA"/>
    <w:rsid w:val="00F76666"/>
    <w:rsid w:val="00FA46F7"/>
    <w:rsid w:val="00FC0C01"/>
    <w:rsid w:val="00FC5627"/>
    <w:rsid w:val="00FC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FA"/>
    <w:pPr>
      <w:spacing w:after="200" w:line="276" w:lineRule="auto"/>
    </w:pPr>
    <w:rPr>
      <w:sz w:val="28"/>
      <w:szCs w:val="28"/>
      <w:lang w:val="ru-RU"/>
    </w:rPr>
  </w:style>
  <w:style w:type="paragraph" w:styleId="Heading3">
    <w:name w:val="heading 3"/>
    <w:basedOn w:val="Normal"/>
    <w:link w:val="Heading3Char"/>
    <w:uiPriority w:val="99"/>
    <w:qFormat/>
    <w:rsid w:val="000D3F1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D3F16"/>
    <w:rPr>
      <w:rFonts w:eastAsia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9A50AB"/>
    <w:pPr>
      <w:ind w:left="720"/>
    </w:pPr>
  </w:style>
  <w:style w:type="character" w:styleId="Strong">
    <w:name w:val="Strong"/>
    <w:basedOn w:val="DefaultParagraphFont"/>
    <w:uiPriority w:val="99"/>
    <w:qFormat/>
    <w:rsid w:val="000D3F16"/>
    <w:rPr>
      <w:b/>
      <w:bCs/>
    </w:rPr>
  </w:style>
  <w:style w:type="table" w:styleId="TableGrid">
    <w:name w:val="Table Grid"/>
    <w:basedOn w:val="TableNormal"/>
    <w:uiPriority w:val="99"/>
    <w:rsid w:val="00A5680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490</TotalTime>
  <Pages>3</Pages>
  <Words>475</Words>
  <Characters>2711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rada24</dc:creator>
  <cp:keywords/>
  <dc:description/>
  <cp:lastModifiedBy>Customer</cp:lastModifiedBy>
  <cp:revision>80</cp:revision>
  <cp:lastPrinted>2017-07-27T14:04:00Z</cp:lastPrinted>
  <dcterms:created xsi:type="dcterms:W3CDTF">2017-07-21T07:41:00Z</dcterms:created>
  <dcterms:modified xsi:type="dcterms:W3CDTF">2017-07-28T13:51:00Z</dcterms:modified>
</cp:coreProperties>
</file>